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https://www.autoritedelaconcurrence.fr/fr/decision-de-controle-des-concentrations/relative-la-prise-de-controle-exclusif-de-la-societe-471</w:t>
      </w:r>
    </w:p>
    <w:p>
      <w:r>
        <w:t>Pages translated : 2</w:t>
      </w:r>
    </w:p>
    <w:p/>
    <w:p>
      <w:r>
        <w:rPr>
          <w:b/>
        </w:rPr>
        <w:t>[Pages 1–2]</w:t>
      </w:r>
    </w:p>
    <w:p>
      <w:r>
        <w:t>FRENCH REPUBLIC</w:t>
        <w:br/>
        <w:t>Decision No. 25-DCC-117 of May 21, 2025</w:t>
        <w:br/>
        <w:t>regarding the exclusive control acquisition of the company Atlandes by the</w:t>
        <w:br/>
        <w:t>Abertis group</w:t>
      </w:r>
    </w:p>
    <w:p>
      <w:r>
        <w:t>The Competition Authority,</w:t>
      </w:r>
    </w:p>
    <w:p>
      <w:r>
        <w:t>Having regard to the complete notification file submitted to the mergers department on April 18, 2025,</w:t>
        <w:br/>
        <w:t>concerning the exclusive control acquisition of the company Atlandes by the Abertis group, formalized</w:t>
        <w:br/>
        <w:t>by a transfer contract signed on February 28, 2025;</w:t>
      </w:r>
    </w:p>
    <w:p>
      <w:r>
        <w:t>Having regard to Book IV of the Commercial Code relating to the freedom of prices and competition, and</w:t>
        <w:br/>
        <w:t>notably its Articles L. 430-1 to L. 430-7;</w:t>
      </w:r>
    </w:p>
    <w:p>
      <w:r>
        <w:t>Having regard to the additional elements provided by the notifying party during the investigation;</w:t>
      </w:r>
    </w:p>
    <w:p>
      <w:r>
        <w:t>Adopts the following decision:</w:t>
      </w:r>
    </w:p>
    <w:p>
      <w:r>
        <w:t>1. The notified operation consists of the acquisition of all shares and voting rights of the</w:t>
        <w:br/>
        <w:t>company European Motorway Investments, which holds 51.2% of the shares and voting rights</w:t>
        <w:br/>
        <w:t>of the company Atlandes, by the Abertis group, through its subsidiary Transport Infrastructure Holding. The parties are simultaneously active in the sector of toll highway concessions and services related to their operation. The operation constitutes a concentration within the meaning of Article L. 430-1 of the Commercial Code. Given the revenues generated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DECIDES</w:t>
        <w:br/>
        <w:t>Sole Article: The operation notified under number 25-073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