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https://www.autoritedelaconcurrence.fr/fr/decision-de-controle-des-concentrations/relative-la-prise-de-controle-exclusif-de-la-societe-472</w:t>
      </w:r>
    </w:p>
    <w:p>
      <w:r>
        <w:t>Pages translated : 2</w:t>
      </w:r>
    </w:p>
    <w:p/>
    <w:p>
      <w:r>
        <w:rPr>
          <w:b/>
        </w:rPr>
        <w:t>[Pages 1–2]</w:t>
      </w:r>
    </w:p>
    <w:p>
      <w:r>
        <w:t>FRENCH REPUBLIC</w:t>
        <w:br/>
        <w:t>Decision No. 25-DCC-119 of May 21, 2025</w:t>
        <w:br/>
        <w:t>regarding the exclusive control acquisition of the company Softway Médical</w:t>
        <w:br/>
        <w:t>by the company Bain Capital Europe</w:t>
        <w:br/>
        <w:t>The Competition Authority,</w:t>
        <w:br/>
        <w:t>Having regard to the complete notification file submitted to the mergers department on May 2, 2025, concerning the exclusive control acquisition of the company Softway Médical by the company Bain Capital Europe, formalized by a sale option contract dated April 4, 2025;</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Bain Capital Europe, via its subsidiary Solis Bidco SAS, of the company Softway Médical. Bain Capital Europe and Softway Médical are active in the health software markets.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25-119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