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https://www.autoritedelaconcurrence.fr/fr/decision-de-controle-des-concentrations/relative-la-prise-de-controle-exclusif-de-la-societe-473</w:t>
      </w:r>
    </w:p>
    <w:p>
      <w:r>
        <w:t>Pages translated : 2</w:t>
      </w:r>
    </w:p>
    <w:p/>
    <w:p>
      <w:r>
        <w:rPr>
          <w:b/>
        </w:rPr>
        <w:t>[Pages 1–2]</w:t>
      </w:r>
    </w:p>
    <w:p>
      <w:r>
        <w:t xml:space="preserve">FRENCH REPUBLIC  </w:t>
        <w:br/>
        <w:t xml:space="preserve">Decision No. 25-DCC-118 of May 23, 2025  </w:t>
        <w:br/>
        <w:t xml:space="preserve">regarding the exclusive control acquisition of the company Garage Louis Grasser and two car dealerships of the company Les Nouveaux Garages Automobiles et Services by the company Hess Automobile Groupe  </w:t>
        <w:br/>
        <w:t xml:space="preserve">The Competition Authority,  </w:t>
        <w:br/>
        <w:t xml:space="preserve">Having regard to the complete notification file submitted to the mergers department on May 6, 2025, concerning the exclusive control acquisition of the company Garage Louis Grasser and two car dealerships of the company Les Nouveaux Garages Automobiles et Services by the company Hess Automobile Groupe, formalized by letters of intent dated March 28,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company Hess Automobile Groupe, of all the capital and voting rights of the company Garage Louis Grasser, which is active in the automobile distribution sector in the cities of Wissembourg and Schweighouse-Sur-Moder (67), as well as two car dealerships of the company Les Nouveaux Garages Automobiles et Services, located in the cities of Schweighouse-Sur-Moder and Souffelweyersheim (67). This operation constitutes a concentration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25-113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