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https://www.autoritedelaconcurrence.fr/fr/decision-de-controle-des-concentrations/relative-la-prise-de-controle-exclusif-de-la-societe-475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25-DCC-155 of July 1, 2025</w:t>
        <w:br/>
        <w:t>regarding the exclusive control acquisition of Finzzle Groupe by</w:t>
        <w:br/>
        <w:t>the Bridgepoint group</w:t>
        <w:br/>
        <w:t>The Competition Authority,</w:t>
        <w:br/>
        <w:t>Having regard to the complete notification file submitted to the mergers department on June 11, 2025,</w:t>
        <w:br/>
        <w:t>concerning the exclusive control acquisition of Finzzle Groupe by the Bridgepoint group,</w:t>
        <w:br/>
        <w:t>formalized by a purchase promise dated May 8, 2025, and a transfer contract signed on</w:t>
        <w:br/>
        <w:t>May 29,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Bridgepoint group of a majority share</w:t>
        <w:br/>
        <w:t>of the capital and voting rights of Finzzle Groupe, which is active in the wealth management consulting sector in France. This operation constitutes a concentration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25-148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