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https://www.autoritedelaconcurrence.fr/fr/decision-de-controle-des-concentrations/relative-la-prise-de-controle-exclusif-de-la-societe-476</w:t>
      </w:r>
    </w:p>
    <w:p>
      <w:r>
        <w:t>Pages translated : 2</w:t>
      </w:r>
    </w:p>
    <w:p/>
    <w:p>
      <w:r>
        <w:rPr>
          <w:b/>
        </w:rPr>
        <w:t>[Pages 1–2]</w:t>
      </w:r>
    </w:p>
    <w:p>
      <w:r>
        <w:t xml:space="preserve">FRENCH REPUBLIC  </w:t>
        <w:br/>
        <w:t xml:space="preserve">Decision No. 25-DCC-162 of July 4, 2025  </w:t>
        <w:br/>
        <w:t>regarding the acquisition of exclusive control of the company Solutec by the company Aubay</w:t>
      </w:r>
    </w:p>
    <w:p>
      <w:r>
        <w:t>The Competition Authority,</w:t>
      </w:r>
    </w:p>
    <w:p>
      <w:r>
        <w:t>Having regard to the complete notification file submitted to the mergers department on June 12, 2025, concerning the acquisition of exclusive control of the company Solutec by the company Aubay, formalized by a purchase agreement dated June 4, 2025;</w:t>
      </w:r>
    </w:p>
    <w:p>
      <w:r>
        <w:t>Having regard to Book IV of the Commercial Code relating to the freedom of prices and competition, and in particular its Articles L. 430-1 to L. 430-7;</w:t>
      </w:r>
    </w:p>
    <w:p>
      <w:r>
        <w:t>Adopts the following decision:</w:t>
      </w:r>
    </w:p>
    <w:p>
      <w:r>
        <w:t xml:space="preserve">1. The notified operation consists of the acquisition, by the company Aubay, of exclusive control of the company Solutec, active in the IT services sector. The operation constitutes a concentration within the meaning of Article L. 430-1 of the Commercial Code. Given the turnover achieved by the companies concerned, the operation does not fall within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25-154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