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https://www.autoritedelaconcurrence.fr/fr/decision-de-controle-des-concentrations/relative-la-prise-de-controle-exclusif-de-la-societe-477</w:t>
      </w:r>
    </w:p>
    <w:p>
      <w:r>
        <w:t>Pages translated : 13</w:t>
      </w:r>
    </w:p>
    <w:p/>
    <w:p>
      <w:r>
        <w:rPr>
          <w:b/>
        </w:rPr>
        <w:t>[Pages 1–3]</w:t>
      </w:r>
    </w:p>
    <w:p>
      <w:r>
        <w:t>FRENCH REPUBLIC</w:t>
        <w:br/>
        <w:t>Decision No. 25-DCC-172 of July 25, 2025</w:t>
        <w:br/>
        <w:t>regarding the exclusive control of the company Sofisport by the company FN Browning Group</w:t>
        <w:br/>
        <w:t>The Competition Authority,</w:t>
        <w:br/>
        <w:t>Having regard to the notification file submitted in full to the merger service on June 25, 2025, regarding the exclusive control of the company Sofisport by the company FN Browning Group, formalized by a share purchase agreement dated December 23, 2024;</w:t>
        <w:br/>
        <w:t>Having regard to Book IV of the Commercial Code relating to price freedom and competition, and in particular its Articles L. 430-1 to L. 430-7;</w:t>
        <w:br/>
        <w:t>Having regard to the supplementary elements transmitted by the notifying party during the investigation;</w:t>
        <w:br/>
        <w:t>Having regard to the other documents in the file;</w:t>
        <w:br/>
        <w:t>Adopts the following decision:</w:t>
      </w:r>
    </w:p>
    <w:p>
      <w:r>
        <w:t>I. The companies involved and the operation</w:t>
        <w:br/>
        <w:t>1. FN Browning Group (hereinafter "FNBG"), a public limited company under Belgian law, at the head of the eponymous group, is 100% owned by the company Wallonie Entreprendre, itself 99.5% owned by the Walloon Region. FNBG specializes in the design, manufacture, and distribution of firearms and ammunition marketed under its own brands FN and Noptel to military and law enforcement forces. FNBG is also active in the design, manufacture, and distribution of firearms and in the distribution of metallic ammunition for hunting and sport shooting, marketed under the Browning and Winchester brands. Finally, marginally, it distributes hunting cartridges under the Winchester brand produced by Sofisport.</w:t>
        <w:br/>
        <w:t>2. Sofisport, a public limited company under French law, is a manufacturer of cartridges. It produces so-called "private label" cartridges on behalf of competing third-party suppliers and cartridges that it markets under its own brands Cheddite, Nobel Sport, Rio, Fob, Tunet, and Eley Hawk to distributors and retailers. It also engages, upstream, in the production and supply of cartridge components (primers, casings, and powder) from sites located in France, Spain, and Italy. These components are used either for its own cartridge manufacturing or sold to competing cartridge manufacturers. Finally, Sofisport engages, on a marginal basis, in wholesale distribution of metallic ammunition and civilian firearms, as well as activities in the field of law enforcement solutions.</w:t>
        <w:br/>
        <w:t>3. The present operation consists of the acquisition by FNBG of at least [confidential] % of the share capital and voting rights of Sofisport. As it results in the exclusive control of Sofisport by FNBG, the notified operation constitutes a concentration within the meaning of Article L. 430-1 of the Commercial Code.</w:t>
        <w:br/>
        <w:t>4. The companies involved together achieve a total worldwide turnover of more than 150 million euros (FNBG: [&gt; 150] million euros for the fiscal year ending December 31, 2023; Sofisport: [&gt; 150] million euros for the same fiscal year). Each of these companies achieves, in France, a turnover exceeding 50 million euros (FNBG: [&gt; 50] million euros for the fiscal year ending December 31, 2023; Sofisport: [&gt; 50] million euros for the same fiscal year).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II. Definition of the relevant markets</w:t>
        <w:br/>
        <w:t>5. Sofisport is active in the manufacture of non-metallic ammunition that it markets under its own brands or that it manufactures on behalf of third parties. Sofisport also engages, upstream, in the manufacture of non-metallic ammunition components (primers, casings, and powder).</w:t>
        <w:br/>
        <w:t>6. FNBG and Sofisport are simultaneously active in the wholesale distribution of non-metallic ammunition, metallic ammunition for civilian use, as well as civilian firearms.</w:t>
        <w:br/>
        <w:t>7. To date, the Competition Authority and the European Commission have not been called upon to define the relevant markets for the manufacture and distribution of ammunition and firearms.</w:t>
      </w:r>
    </w:p>
    <w:p>
      <w:r>
        <w:t>A. THE AMMUNITION SECTOR</w:t>
        <w:br/>
        <w:t>8. Ammunition refers to all the elements assembled to allow the firing of a projectile by a firearm. It includes a projectile (bullet or shot), a propellant charge (powder), a primer intended to ignite this charge, as well as a casing, also called a shell, which contains and holds all these components.</w:t>
        <w:br/>
        <w:t>9. The notifying party considers that a distinction should be made between non-metallic ammunition (also called "cartridges") and metallic ammunition, given the substantial differences that exist between these two categories of ammunition, both technically and in terms of usage. Each type of ammunition is indeed associated with a specific category of weapon, depending on its caliber, the pressure generated during use, and the specific requirements of the relevant shooting disciplines.</w:t>
        <w:br/>
        <w:t>10. Regarding their composition, cartridges are equipped with a non-metallic casing, generally made of plastic, associated with a metallic base (head). They are used in shotguns, particularly for small game hunting, as well as in certain sport shooting disciplines.</w:t>
        <w:br/>
        <w:t>11. Metallic ammunition has a casing entirely made of metal (generally brass, steel, or aluminum) and is primarily used in pistols and firearms.</w:t>
      </w:r>
    </w:p>
    <w:p>
      <w:r>
        <w:rPr>
          <w:b/>
        </w:rPr>
        <w:t>[Pages 4–6]</w:t>
      </w:r>
    </w:p>
    <w:p>
      <w:r>
        <w:t>particuliers) et de conditions commerciales.</w:t>
      </w:r>
    </w:p>
    <w:p>
      <w:r>
        <w:t>35. En conséquence, la partie notifiante considère que le marché des munitions métalliques à usage civil doit être distinct du marché des munitions métalliques à usage militaire.</w:t>
      </w:r>
    </w:p>
    <w:p>
      <w:r>
        <w:t>2.2 LES MARCHÉS GÉOGRAPHIQUES</w:t>
      </w:r>
    </w:p>
    <w:p>
      <w:r>
        <w:t>• S’agissant du marché des munitions métalliques à usage civil</w:t>
      </w:r>
    </w:p>
    <w:p>
      <w:r>
        <w:t>36. La partie notifiante soutient que le marché des munitions métalliques à usage civil pourrait également avoir une dimension mondiale. Elle se base sur le fait que les fabricants de munitions, y compris Sofisport, exportent leurs produits à l’échelle mondiale et que les clients s’approvisionnent dans divers pays. En 2024, plus de [confidentiel] % des ventes de munitions métalliques à usage civil de Sofisport ont été réalisées en dehors de l’EEE.</w:t>
      </w:r>
    </w:p>
    <w:p>
      <w:r>
        <w:t>37. Les répondants au test de marché partagent également cette opinion, soulignant que la demande pour les munitions métalliques à usage civil est influencée par des facteurs globaux, tels que les tendances de consommation et les réglementations internationales.</w:t>
      </w:r>
    </w:p>
    <w:p>
      <w:r>
        <w:t>38. Par conséquent, l’analyse sur le marché des munitions métalliques à usage civil sera menée à l’échelle mondiale.</w:t>
      </w:r>
    </w:p>
    <w:p>
      <w:r>
        <w:t>• S’agissant du marché des munitions métalliques à usage militaire</w:t>
      </w:r>
    </w:p>
    <w:p>
      <w:r>
        <w:t>39. La partie notifiante considère que le marché des munitions métalliques à usage militaire est principalement national ou régional, en raison des réglementations strictes et des exigences de sécurité qui varient d’un pays à l’autre.</w:t>
      </w:r>
    </w:p>
    <w:p>
      <w:r>
        <w:t>40. Les répondants au test de marché ont également confirmé que ce marché est fortement influencé par des considérations géopolitiques et des contrats gouvernementaux, ce qui limite la portée internationale.</w:t>
      </w:r>
    </w:p>
    <w:p>
      <w:r>
        <w:t>41. En conséquence, l’analyse sur le marché des munitions métalliques à usage militaire sera menée au niveau national ou régional, selon les spécificités de chaque pays.</w:t>
      </w:r>
    </w:p>
    <w:p>
      <w:r>
        <w:rPr>
          <w:b/>
        </w:rPr>
        <w:t>[Pages 7–9]</w:t>
      </w:r>
    </w:p>
    <w:p>
      <w:r>
        <w:t>34. The respondents to the market test unanimously confirmed the necessity to distinguish the two types of ammunition according to their civilian or military uses due to differences in terms of regulation, pricing, customer typology (States, armories, clubs, individuals, etc.), technical specifications, distribution channels, and storage conditions. Thus, civilian metallic ammunition must comply with the standards of the Permanent International Commission for the Proof of Small Arms (C.I.P.), while military ammunition is governed, as indicated above, by NATO specifications. Furthermore, their distribution circuits differ, with military ammunition generally sold through tenders to governments or military agencies, while civilian metallic ammunition is distributed through the traditional distribution network including distributors, resellers, and consumers.</w:t>
      </w:r>
    </w:p>
    <w:p>
      <w:r>
        <w:t>35. Given these elements, a distinct market for the distribution of metallic ammunition for civilian use can be identified.</w:t>
      </w:r>
    </w:p>
    <w:p>
      <w:r>
        <w:t>36. Within the market for civilian metallic ammunition, the notifying party considers that it is not necessary to operate an additional segmentation based on the type of civilian metallic ammunition (centerfire ammunition for shooting, centerfire ammunition for handguns, rimfire ammunition) as it believes that the competitive conditions, at the wholesale distribution level, are similar on both the demand and supply sides.</w:t>
      </w:r>
    </w:p>
    <w:p>
      <w:r>
        <w:t>37. However, it is not necessary to examine such segmentations in more detail, as the analysis remains unchanged regardless of the delimitation chosen.</w:t>
      </w:r>
    </w:p>
    <w:p>
      <w:r>
        <w:t>38. In this case, FNBG and Sofisport are simultaneously active in the wholesale distribution of metallic ammunition for civilian use. FNBG distributes Winchester brand ammunition to retailers and distributors or wholesalers. In France, Sofisport primarily distributes Brenneke brand ammunition and, to a lesser extent, ammunition from Tunet Partizan brands to large retailers ([confidential]) as well as to local retailers (local gunsmiths).</w:t>
      </w:r>
    </w:p>
    <w:p>
      <w:r>
        <w:t>2.2 THE GEOGRAPHIC MARKET</w:t>
      </w:r>
    </w:p>
    <w:p>
      <w:r>
        <w:t>39. Given the low transportation costs and the absence of major trade barriers, the notifying party considers that the market for the wholesale distribution of metallic ammunition for civilian use has at least a geographic dimension extending to the EEA.</w:t>
      </w:r>
    </w:p>
    <w:p>
      <w:r>
        <w:t>40. The elements collected during the investigation support this assessment. Like cartridges, civilian metallic ammunition can be distributed in several EEA countries by the same actors.</w:t>
      </w:r>
    </w:p>
    <w:p>
      <w:r>
        <w:t>41. Regarding retailers, their sourcing remains primarily focused on their national market. They mainly source from distributors established in the same country where they are located. Nevertheless, according to the market test, some of them report sourcing from distributors located in other EEA states due to the absence of significant trade barriers.</w:t>
      </w:r>
    </w:p>
    <w:p>
      <w:r>
        <w:t>42. In this case, the analysis will be conducted on the market for the wholesale distribution of metallic ammunition for civilian use at the EEA level.</w:t>
      </w:r>
    </w:p>
    <w:p>
      <w:r>
        <w:t>11 FNBG manufactures military metallic ammunition. However, this activity does not overlap with Sofisport's activities and is therefore not presented in detail in this decision.</w:t>
      </w:r>
    </w:p>
    <w:p>
      <w:r>
        <w:t>B. THE WHOLESALE DISTRIBUTION MARKETS FOR FIREARMS FOR CIVILIAN USE</w:t>
      </w:r>
    </w:p>
    <w:p>
      <w:r>
        <w:t>43. A firearm is a portable weapon equipped with a barrel, designed to fire projectiles. It operates through an internal mechanism triggering a chemical combustion reaction of the powder contained in the ammunition, causing the propulsion of the projectile through the barrel.</w:t>
      </w:r>
    </w:p>
    <w:p>
      <w:r>
        <w:t>1. PRODUCT MARKETS</w:t>
      </w:r>
    </w:p>
    <w:p>
      <w:r>
        <w:t>44. According to the distinction made between metallic ammunition for civilian use and metallic ammunition for military use, the notifying party proposes to differentiate, on the one hand, firearms for civilian use such as shoulder weapons (rifles and shotguns in particular) or handguns (pistols and revolvers) and, on the other hand, firearms for military use (assault rifles, machine guns, etc.). It also suggests a segmentation by type of weapon (rifles, shotguns, and handguns), each constituting a market segment.</w:t>
      </w:r>
    </w:p>
    <w:p>
      <w:r>
        <w:t>45. It emerges from the investigation that the distinction between firearms for civilian and military use is justified due to differences related to technical characteristics, regulatory and legal frameworks, contractual modalities, or procurement methods as well as their distribution channels. The investigation also confirms the relevance of a segmentation based on the type of weapon used, given differences in characteristics and use (hunting, sport shooting, etc.).</w:t>
      </w:r>
    </w:p>
    <w:p>
      <w:r>
        <w:t>46. In this case, FNBG and Sofisport are simultaneously active in the wholesale distribution markets for rifles, shotguns, and handguns for civilian use.</w:t>
      </w:r>
    </w:p>
    <w:p>
      <w:r>
        <w:t>2. GEOGRAPHIC MARKETS</w:t>
      </w:r>
    </w:p>
    <w:p>
      <w:r>
        <w:t>50. According to the approach taken for the market of wholesale distribution of metallic ammunition for civilian use, the notifying party considers that the markets for the wholesale distribution of firearms for civilian use extend at least to the EEA, due to low logistical costs and the absence of significant trade barriers.</w:t>
      </w:r>
    </w:p>
    <w:p>
      <w:r>
        <w:t>51. It emerges from the investigation that the main competitors of the parties, as wholesale distributors of civilian firearms, make sales on a European scale, without facing any particular commercial or regulatory restrictions.</w:t>
      </w:r>
    </w:p>
    <w:p>
      <w:r>
        <w:t>52. Furthermore, retailers source from distributors established in the same country where they are located but also, for some of them, from distributors or manufacturers located in other EEA member states. This transnational organization of distribution reflects a market functioning at a supranational scale.</w:t>
      </w:r>
    </w:p>
    <w:p>
      <w:r>
        <w:t>53. In this case, the competitive analysis will be conducted at the EEA level.</w:t>
      </w:r>
    </w:p>
    <w:p>
      <w:r>
        <w:t>12 See in this regard Article R. 311-1 of the Internal Security Code.</w:t>
      </w:r>
    </w:p>
    <w:p>
      <w:r>
        <w:t>III. Competitive Analysis</w:t>
      </w:r>
    </w:p>
    <w:p>
      <w:r>
        <w:t>54. The analysis will successively address the horizontal (A), vertical (B), and conglomerate (C) effects of the operation.</w:t>
      </w:r>
    </w:p>
    <w:p>
      <w:r>
        <w:t>A. ANALYSIS OF HORIZONTAL EFFECTS</w:t>
      </w:r>
    </w:p>
    <w:p>
      <w:r>
        <w:t>55. In this case, the parties are simultaneously present in the wholesale distribution markets for branded cartridges, metallic ammunition for civilian use, as well as rifles, shotguns, and handguns for civilian use.</w:t>
      </w:r>
    </w:p>
    <w:p>
      <w:r>
        <w:t>1. ON THE MARKET FOR WHOLESALE DISTRIBUTION OF BRANDED CARTRIDGES</w:t>
      </w:r>
    </w:p>
    <w:p>
      <w:r>
        <w:t>56. According to the estimates provided by the notifying party, the new entity would hold a market share in value of less than [20-30]%, with an increment resulting from the operation of less than [0-5] points.</w:t>
      </w:r>
    </w:p>
    <w:p>
      <w:r>
        <w:t>57. Consequently, the operation is not likely to harm competition in the market for wholesale distribution of branded cartridges through horizontal effects.</w:t>
      </w:r>
    </w:p>
    <w:p>
      <w:r>
        <w:t>2. ON THE MARKET FOR WHOLESALE DISTRIBUTION OF METALLIC AMMUNITION FOR CIVILIAN USE</w:t>
      </w:r>
    </w:p>
    <w:p>
      <w:r>
        <w:t>58. According to the estimates provided by the notifying party, the new entity would hold a market share in value of less than [10-20]% with an increment resulting from the operation of less than [0-5] points.</w:t>
      </w:r>
    </w:p>
    <w:p>
      <w:r>
        <w:t>59. Consequently, the operation is not likely to harm competition through horizontal effects in the markets for wholesale distribution of metallic ammunition for civilian use.</w:t>
      </w:r>
    </w:p>
    <w:p>
      <w:r>
        <w:t>3. ON THE MARKETS FOR WHOLESALE DISTRIBUTION OF FIREARMS FOR CIVILIAN USE</w:t>
      </w:r>
    </w:p>
    <w:p>
      <w:r>
        <w:t>60. According to the estimates provided by the notifying party, the new entity would hold market shares in value of less than [10-20]% with an increment resulting from the operation of less than [0-5] points in each of the three identified markets for each type of weapon (i.e., cumulative market shares of [10-20]% for rifles, [10-20]% for shotguns, and [0-5]% for handguns).</w:t>
      </w:r>
    </w:p>
    <w:p>
      <w:r>
        <w:t>61. Consequently, the operation is not likely to harm competition through horizontal effects in the market for wholesale distribution of firearms for civilian use, regardless of the segmentation chosen.</w:t>
      </w:r>
    </w:p>
    <w:p>
      <w:r>
        <w:t>13 Guidelines from the Competition Authority regarding the control of concentrations, para. 623.</w:t>
      </w:r>
    </w:p>
    <w:p>
      <w:r>
        <w:rPr>
          <w:b/>
        </w:rPr>
        <w:t>[Pages 10–12]</w:t>
      </w:r>
    </w:p>
    <w:p>
      <w:r>
        <w:t>B. ANALYSIS OF VERTICAL EFFECTS</w:t>
      </w:r>
    </w:p>
    <w:p>
      <w:r>
        <w:t>62. A vertical concentration can restrict competition by making access to the markets in which the new entity will be active more difficult, potentially driving out competitors or penalizing them by increasing their costs. This locking can concern downstream markets when the integrated company refuses to sell an input to its competitors or upstream markets when the downstream branch of the integrated company refuses to purchase products from upstream manufacturers, thereby reducing their commercial outlets.</w:t>
      </w:r>
    </w:p>
    <w:p>
      <w:r>
        <w:t>63. National decision-making practice generally considers that it is unlikely for a company with a market share below 30% in a relevant market to lock a downstream or upstream market.</w:t>
      </w:r>
    </w:p>
    <w:p>
      <w:r>
        <w:t>64. In this case, the activities of the parties present vertical links insofar as Sofisport is active in the upstream market for the manufacturing of private label cartridges on behalf of third parties.</w:t>
      </w:r>
    </w:p>
    <w:p>
      <w:r>
        <w:t>65. Prior to the operation, FNBG entrusts the manufacturing of the cartridges it distributes wholesale under the Winchester brand to Sofisport.</w:t>
      </w:r>
    </w:p>
    <w:p>
      <w:r>
        <w:t>66. The new entity could then decide to stop manufacturing private label cartridges for FNBG's competitors in the downstream market for the wholesale distribution of cartridges (locking of inputs). Similarly, FNBG could cease purchasing cartridges from competing manufacturers upstream, reducing the outlets for Sofisport's competitors (locking of customers).</w:t>
      </w:r>
    </w:p>
    <w:p>
      <w:r>
        <w:t>1. ON THE RISK OF LOCKING ACCESS TO INPUTS</w:t>
      </w:r>
    </w:p>
    <w:p>
      <w:r>
        <w:t>67. A scenario of locking access to inputs would involve the new entity ceasing or reducing sales of private label cartridges manufactured by Sofisport to FNBG's competitors active in the wholesale distribution market for private label cartridges who do not produce their own cartridges. However, the new entity would neither have the capacity nor the incentive to implement such a strategy.</w:t>
      </w:r>
    </w:p>
    <w:p>
      <w:r>
        <w:t>68. Firstly, although Sofisport is a significant global player in the market for manufacturing private label cartridges on behalf of third parties, with an estimated market share of [30-40]%, it faces competition from major international players such as CSG, Olin Corporation, Gamebore, Clever, and Trust. Furthermore, due to the homogeneous nature of cartridge composition, the absence of technical and economic barriers to entry, and capacity constraints for players present in the private label cartridge manufacturing market, any attempt to lock inputs following the operation would result in a shift in demand from Sofisport to its competitors, leading to a significant loss of revenue for Sofisport.</w:t>
      </w:r>
    </w:p>
    <w:p>
      <w:r>
        <w:t>69. The market test indicates that private label cartridges produced on behalf of third parties are generally sold through one-off orders, without multi-year commitments. This situation enhances Sofisport's customers' ability to shift their purchases to one or more competing cartridge manufacturers and would render any potential input locking strategy ineffective.</w:t>
      </w:r>
    </w:p>
    <w:p>
      <w:r>
        <w:t>70. Secondly, the new entity would have no interest in ceasing the manufacturing of cartridges on behalf of third parties as such a strategy would lead to a reduction in its own revenues due to the loss of sales related to this activity, which currently represents approximately [20-30]% of its turnover. Moreover, this decision would not lead to an increase in its own sales of branded cartridges in the downstream market since the manufacturing of cartridges on behalf of third parties would be taken over by a competitor, and the volumes of cartridges targeted by FNBG's exclusion strategy would continue to be available in the downstream market.</w:t>
      </w:r>
    </w:p>
    <w:p>
      <w:r>
        <w:t>71. Consequently, any risk of locking access to inputs for wholesale distributors of branded cartridges that do not manufacture their own cartridges can be ruled out.</w:t>
      </w:r>
    </w:p>
    <w:p>
      <w:r>
        <w:t>2. ON THE RISK OF LOCKING ACCESS TO CUSTOMERS</w:t>
      </w:r>
    </w:p>
    <w:p>
      <w:r>
        <w:t>72. A scenario of locking access to customers would involve FNBG ceasing to purchase cartridges from competing manufacturers upstream (or reducing its purchases), thereby reducing their commercial outlets. Such a strategy could deteriorate the situation of Sofisport's competitors in the upstream market for the manufacturing of cartridges on behalf of third parties by restricting their outlets.</w:t>
      </w:r>
    </w:p>
    <w:p>
      <w:r>
        <w:t>73. However, such a risk can be ruled out in this case because, on the one hand, FNBG already purchases almost all of its cartridges from Sofisport and, on the other hand, the volume of cartridges purchased by FNBG from Sofisport remains negligible. In 2024, the volume share of cartridges purchased by FNBG represented less than [0-5]% of the total volume of the global market for private label cartridges.</w:t>
      </w:r>
    </w:p>
    <w:p>
      <w:r>
        <w:t>74. Finally, the majority of respondents to the market test confirm that there are sufficient customers for the purchase of private label cartridges.</w:t>
      </w:r>
    </w:p>
    <w:p>
      <w:r>
        <w:t>75. It follows from the above that any risk of locking access to customers for Sofisport's competitors can be ruled out.</w:t>
      </w:r>
    </w:p>
    <w:p>
      <w:r>
        <w:t>C. ANALYSIS OF CONGLOMERATE EFFECTS</w:t>
      </w:r>
    </w:p>
    <w:p>
      <w:r>
        <w:t>76. A concentration produces non-coordinated conglomerate effects when it allows the new entity to restrict or prevent access to one or more markets. Indeed, a company that benefits from or strengthens a strong position in one market may be able to lock access to one or more related markets by exploiting a leverage effect. The leverage effect consists of a company's ability to increase sales of a product in one market by exploiting its strong market position in another product to which the first product or service is linked, related, or bundled.</w:t>
      </w:r>
    </w:p>
    <w:p>
      <w:r>
        <w:t>77. The Competition Authority considers it unlikely that a company with a market share below 30% in a given market can lock a related market.</w:t>
      </w:r>
    </w:p>
    <w:p>
      <w:r>
        <w:t>78. In accordance with decision-making practice, the likelihood that the operation distorts competition through conglomerate effects is assessed based on (i) the ability to effectively implement a locking strategy, (ii) the incentive to implement such a strategy, and (iii) the effects of this strategy on the markets concerned.</w:t>
      </w:r>
    </w:p>
    <w:p>
      <w:r>
        <w:t>79. In this case, it is necessary to examine to what extent the new entity could implement a bundling strategy by combining firearms for civilian use with non-metallic and metallic ammunition that it would offer to distributors or retailers, who could then replicate this practice to end consumers.</w:t>
      </w:r>
    </w:p>
    <w:p>
      <w:r>
        <w:t>80. On the one hand, the combined market shares of the parties, in value, are below 30% in the markets for (i) wholesale distribution of cartridges ([20-30]%), (ii) wholesale distribution of civilian metallic ammunition ([10-20]%), and wholesale distribution of firearms for civilian use (i.e., [10-20]% for rifles, [10-20]% for shotguns, and [0-5]% for handguns).</w:t>
      </w:r>
    </w:p>
    <w:p>
      <w:r>
        <w:t>81. On the other hand, as confirmed by the respondents to the market test, end consumers do not simultaneously purchase ammunition and firearms. Indeed, acquiring a firearm constitutes a long-term investment, generally related to recreational use, while ammunition is purchased several times a year. Furthermore, it appears that no technical advantage would result from the joint use of a firearm and ammunition of the same brand. In this regard, the majority of respondents to the market test believe that FNBG does not offer firearms with distinctive characteristics compared to its competitors. Similarly, cartridges do not have any particular characteristics that make them indispensable in the market. Therefore, there is interoperability between the products of different suppliers since firearms and ammunition are designed according to standardized calibers and specifications ensuring compatibility between brands.</w:t>
      </w:r>
    </w:p>
    <w:p>
      <w:r>
        <w:t>82. In light of the specificities of the markets in which the parties are active, there is therefore no incentive for the new entity to consider implementing a bundling strategy.</w:t>
      </w:r>
    </w:p>
    <w:p>
      <w:r>
        <w:t>83. It follows from the above that the notified operation is not likely to harm competition through conglomerate effects in the relevant markets.</w:t>
      </w:r>
    </w:p>
    <w:p>
      <w:r>
        <w:rPr>
          <w:b/>
        </w:rPr>
        <w:t>[Pages 13–13]</w:t>
      </w:r>
    </w:p>
    <w:p>
      <w:r>
        <w:t xml:space="preserve">DECIDES  </w:t>
        <w:br/>
        <w:t xml:space="preserve">Sole Article: The operation notified under number 25-064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