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https://www.autoritedelaconcurrence.fr/fr/decision-de-controle-des-concentrations/relative-la-prise-de-controle-exclusif-de-la-societe-478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25-DCC-171 of July 23, 2025  </w:t>
        <w:br/>
        <w:t xml:space="preserve">regarding the exclusive control acquisition of the company Horadianse by the  </w:t>
        <w:br/>
        <w:t xml:space="preserve">company Tikehau Capital  </w:t>
        <w:br/>
        <w:t xml:space="preserve">The Competition Authority,  </w:t>
        <w:br/>
        <w:t xml:space="preserve">Having regard to the complete notification file submitted to the mergers department on July 7, 2025,  </w:t>
        <w:br/>
        <w:t xml:space="preserve">concerning the exclusive control acquisition of the company Horadianse SAS and its subsidiaries by the company  </w:t>
        <w:br/>
        <w:t xml:space="preserve">Tikehau Capital SCA, formalized by [confidential];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other documents in the file;  </w:t>
        <w:br/>
        <w:t xml:space="preserve">Adopts the following decision:  </w:t>
        <w:br/>
        <w:t xml:space="preserve">1. The notified operation consists of the exclusive control acquisition of the company Horadianse SAS and  </w:t>
        <w:br/>
        <w:t xml:space="preserve">its subsidiaries by the company Tikehau Capital SCA. The relevant sector is that of medical imaging. Given the turnover achieved by the companies concerned,  </w:t>
        <w:br/>
        <w:t xml:space="preserve">the operation does not fall under the jurisdiction of the European Union. On the other hand, the control thresholds mentioned in I of Article L. 430-2 of the Commercial Code are exceeded. This  </w:t>
        <w:br/>
        <w:t xml:space="preserve">operation is therefore subject to the 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25-170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