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12-DCC-102 of July 30, 2012  </w:t>
        <w:br/>
        <w:t xml:space="preserve">regarding the exclusive control acquisition of the company Thémis by the  </w:t>
        <w:br/>
        <w:t xml:space="preserve">company ITM Alimentaire Nord  </w:t>
        <w:br/>
        <w:t xml:space="preserve">The Competition Authority,  </w:t>
        <w:br/>
        <w:t xml:space="preserve">Having regard to the complete notification file submitted to the mergers department on July 6, 2012,  </w:t>
        <w:br/>
        <w:t xml:space="preserve">concerning the exclusive control acquisition by the company ITM Alimentaire Nord of the company Thémis  </w:t>
        <w:br/>
        <w:t xml:space="preserve">materialized by a share transfer agreement under suspensive conditions dated  </w:t>
        <w:br/>
        <w:t xml:space="preserve">July 5, 2012;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Thémis, which operates  </w:t>
        <w:br/>
        <w:t xml:space="preserve">a distribution business primarily in food under the Intermarché brand  </w:t>
        <w:br/>
        <w:t xml:space="preserve">with a surface area of 2,200 m2 in Achicourt (62), by the company ITM Alimentaire Nord and constitutes  </w:t>
        <w:br/>
        <w:t xml:space="preserve">a concentration operation within the meaning of Article L. 430-1 of the Commercial Code. Given  </w:t>
        <w:br/>
        <w:t xml:space="preserve">the turnover achieved by the companies concerned, the operation does not have a  </w:t>
        <w:br/>
        <w:t xml:space="preserve">community dimension. On the other hand, the control thresholds related to retail  </w:t>
        <w:br/>
        <w:t xml:space="preserve">mentioned in point II of Article L. 430-2 of the Commercial Code are exceeded. This  </w:t>
        <w:br/>
        <w:t xml:space="preserve">operation is therefore subject to the provisions of Articles L. 430-3 and following of the Commercial  </w:t>
        <w:br/>
        <w:t xml:space="preserve">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12-113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