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https://www.autoritedelaconcurrence.fr/fr/decision-de-controle-des-concentrations/relative-la-prise-de-controle-exclusif-de-la-societe-481</w:t>
      </w:r>
    </w:p>
    <w:p>
      <w:r>
        <w:t>Pages translated : 2</w:t>
      </w:r>
    </w:p>
    <w:p/>
    <w:p>
      <w:r>
        <w:rPr>
          <w:b/>
        </w:rPr>
        <w:t>[Pages 1–2]</w:t>
      </w:r>
    </w:p>
    <w:p>
      <w:r>
        <w:t xml:space="preserve">FRENCH REPUBLIC  </w:t>
        <w:br/>
        <w:t xml:space="preserve">Decision No. 25-DCC-218 of November 4, 2025  </w:t>
        <w:br/>
        <w:t xml:space="preserve">regarding the exclusive control acquisition of the company Infracos by the  </w:t>
        <w:br/>
        <w:t xml:space="preserve">company Phoenix Tower International Holdco  </w:t>
        <w:br/>
        <w:t xml:space="preserve">The Competition Authority,  </w:t>
        <w:br/>
        <w:t xml:space="preserve">Having regard to the complete notification file submitted to the mergers department on  </w:t>
        <w:br/>
        <w:t xml:space="preserve">September 16, 2025, concerning the exclusive control acquisition by the company Phoenix Tower  </w:t>
        <w:br/>
        <w:t xml:space="preserve">International Holdco of the company Infracos, formalized by a share purchase agreement dated  </w:t>
        <w:br/>
        <w:t xml:space="preserve">July 29,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Phoenix Tower  </w:t>
        <w:br/>
        <w:t xml:space="preserve">International Holdco of 3,736 passive telecommunications infrastructure sites located in  </w:t>
        <w:br/>
        <w:t xml:space="preserve">urban, peri-urban, and rural areas, through the acquisition of the company Infracos. It constitutes a concentration operation within the meaning of Article L. 430-1 of the  </w:t>
        <w:br/>
        <w:t xml:space="preserve">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1 If the notified operation concerns the acquisition of the shares of the company Infracos, it appears that, prior to its completion, a delineation of the portfolio of passive telecommunications infrastructure sites held by this company is planned. This delineation will lead to the exclusion of a certain number of sites from the scope of the operation, so that it may involve the acquisition of a maximum of 3,736 sites.</w:t>
      </w:r>
    </w:p>
    <w:p>
      <w:r>
        <w:t xml:space="preserve">DECIDES  </w:t>
        <w:br/>
        <w:t xml:space="preserve">Sole Article: The operation notified under number 25-204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