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https://www.autoritedelaconcurrence.fr/fr/decision-de-controle-des-concentrations/relative-la-prise-de-controle-exclusif-de-la-societe-482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25-DCC-295 of November 24, 2025  </w:t>
        <w:br/>
        <w:t xml:space="preserve">regarding the exclusive control acquisition of the company Delaunay  </w:t>
        <w:br/>
        <w:t xml:space="preserve">by the company Groupe Bigard  </w:t>
        <w:br/>
        <w:t>The Competition Authority,</w:t>
      </w:r>
    </w:p>
    <w:p>
      <w:r>
        <w:t xml:space="preserve">Having regard to the complete notification file sent to the mergers department on November 3, 2025,  </w:t>
        <w:br/>
        <w:t xml:space="preserve">concerning the exclusive control acquisition of the company Delaunay by the company Groupe Bigard,  </w:t>
        <w:br/>
        <w:t>formalized by a memorandum of understanding dated April 30, 2025;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other documents in the file;</w:t>
      </w:r>
    </w:p>
    <w:p>
      <w:r>
        <w:t xml:space="preserve">Adopts the following decision:  </w:t>
        <w:br/>
        <w:t xml:space="preserve">1. The notified operation consists of the exclusive control acquisition by the company Groupe Bigard of the  </w:t>
        <w:br/>
        <w:t xml:space="preserve">company Delaunay, which is active in the trade of live cattle. This operation constitutes  </w:t>
        <w:br/>
        <w:t xml:space="preserve">a concentration within the meaning of Article L. 430-1 of the Commercial Code. Given the turnover  </w:t>
        <w:br/>
        <w:t xml:space="preserve">achieved by the companies concerned,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25-163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