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https://www.autoritedelaconcurrence.fr/fr/decision-de-controle-des-concentrations/relative-la-prise-de-controle-exclusif-de-la-societe-483</w:t>
      </w:r>
    </w:p>
    <w:p>
      <w:r>
        <w:t>Pages translated : 2</w:t>
      </w:r>
    </w:p>
    <w:p/>
    <w:p>
      <w:r>
        <w:rPr>
          <w:b/>
        </w:rPr>
        <w:t>[Pages 1–2]</w:t>
      </w:r>
    </w:p>
    <w:p>
      <w:r>
        <w:t>FRENCH REPUBLIC</w:t>
        <w:br/>
        <w:t>Decision No. 25-DCC-314 of December 9, 2025</w:t>
        <w:br/>
        <w:t>regarding the exclusive control acquisition of the company Texelis Defense by</w:t>
        <w:br/>
        <w:t>the KNDS group</w:t>
        <w:br/>
        <w:t>The Competition Authority,</w:t>
        <w:br/>
        <w:t>Having regard to the complete notification file submitted to the mergers department</w:t>
        <w:br/>
        <w:t>on November 14, 2025, concerning the exclusive control acquisition of the company Texelis Defense by the</w:t>
        <w:br/>
        <w:t>KNDS group, formalized by a share purchase agreement dated July 31, 2025;</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KNDS group of the company</w:t>
        <w:br/>
        <w:t>Texelis Defense, newly created to consolidate all defense activities of the company Texelis, which is active in the field of mobility solutions for the defense and transport sectors. The operation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25-282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