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https://www.autoritedelaconcurrence.fr/fr/decision-de-controle-des-concentrations/relative-la-prise-de-controle-exclusif-de-la-societe-485</w:t>
      </w:r>
    </w:p>
    <w:p>
      <w:r>
        <w:t>Pages translated : 11</w:t>
      </w:r>
    </w:p>
    <w:p/>
    <w:p>
      <w:r>
        <w:rPr>
          <w:b/>
        </w:rPr>
        <w:t>[Pages 1–3]</w:t>
      </w:r>
    </w:p>
    <w:p>
      <w:r>
        <w:t>FRENCH REPUBLIC</w:t>
        <w:br/>
        <w:t>Decision No. 25-DCC-318 of December 11, 2025</w:t>
        <w:br/>
        <w:t>regarding the exclusive control of the company Zoomalia</w:t>
        <w:br/>
        <w:t>by the company Holding Nicole</w:t>
        <w:br/>
        <w:t>The Competition Authority,</w:t>
        <w:br/>
        <w:t>Having regard to the notification file submitted in full to the merger service on</w:t>
        <w:br/>
        <w:t>November 12, 2025, regarding the exclusive control of the company Zoomalia by the company</w:t>
        <w:br/>
        <w:t>Holding Nicole, formalized by a transfer agreement signed on October 15, 2025;</w:t>
        <w:br/>
        <w:t>Having regard to Book IV of the Commercial Code relating to price freedom and competition, and</w:t>
        <w:br/>
        <w:t>in particular its Articles L. 430-1 to L. 430-7;</w:t>
        <w:br/>
        <w:t>Adopts the following decision:</w:t>
      </w:r>
    </w:p>
    <w:p>
      <w:r>
        <w:t>I. The companies involved and the operation</w:t>
        <w:br/>
        <w:t>1. The company Holding Nicole, owned by Mr. Guillaume Tavernier and Mrs. Rosaria</w:t>
        <w:br/>
        <w:t>Tavernier, heads the Holding Nicole group (hereinafter "Holding Nicole"), specialized</w:t>
        <w:br/>
        <w:t>in the retail distribution of pet products in France. The group operates a network of 123 franchised pet stores under the brand "JMT le royaume des animaux" (hereinafter "JMT") and a purchasing center ensuring the supply of the group's stores.</w:t>
        <w:br/>
        <w:t>2. The company Zoomalia (hereinafter "Zoomalia") is exclusively controlled by Mr. Pierre-Adrien Thollet. Zoomalia specializes in the retail distribution of pet products, via a dedicated website and a network of 39 company-owned and operated pet stores under the brand Zoomalia.</w:t>
        <w:br/>
        <w:t>3. The contemplated operation consists of the acquisition by Holding Nicole of the entirety of the share capital and voting rights of Zoomalia.</w:t>
        <w:br/>
        <w:t>4. The companies involved together achieve a total worldwide turnover of more than 150 million euros (Holding Nicole: approximately [≤ 150] million euros for the fiscal year ending December 31, 2024; Zoomalia: approximately [≤ 150] million euros for the same fiscal year). Each of these companies achieves, in France, a turnover exceeding 50 million euros (Holding Nicole: approximately [≥ 50] million euros for the fiscal year ending December 31, 2024; Zoomalia: approximately [≥ 50] million euros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1 Including a mobile application.</w:t>
      </w:r>
    </w:p>
    <w:p>
      <w:r>
        <w:t>II. Delimitation of the relevant markets</w:t>
        <w:br/>
        <w:t>5. The parties are simultaneously active in the sector of distribution of pet products, as upstream purchasers of pet products (A), and downstream, as distributors of these products (B).</w:t>
        <w:br/>
        <w:t>A. UPSTREAM MARKETS FOR THE SUPPLY OF PET PRODUCTS</w:t>
        <w:br/>
        <w:t>1. PRODUCT MARKETS</w:t>
        <w:br/>
        <w:t>6. In terms of the supply of consumer goods, the consistent decision-making practice of the Competition Authority (hereinafter, "the Authority") distinguishes as many markets as there are families or groups of products. It has notably recognized the existence of a distinct market for the supply of pet products, without considering segments by type of products. In this case, the Authority questioned the necessity of including live animals under the supply of "products" for pet products. In this regard, the Authority notes that the provision of live animals meets certain regulatory requirements different from those concerning other pet products. In any case, the question of including live animals within the market for the supply of pet products can be left open, as the conclusions of the competitive analysis remain unchanged regardless of the definition considered.</w:t>
        <w:br/>
        <w:t>7. The Authority also questioned a segmentation by type of distribution channel, particularly given the differences in commercial strategies that suppliers of pet products may adopt with respect to different distribution channels. In this case, the question of segmentation by distribution channel can be left open, as the conclusions of the competitive analysis remain unchanged regardless of the definition considered.</w:t>
      </w:r>
    </w:p>
    <w:p>
      <w:r>
        <w:rPr>
          <w:b/>
        </w:rPr>
        <w:t>[Pages 4–6]</w:t>
      </w:r>
    </w:p>
    <w:p>
      <w:r>
        <w:t>2. GEOGRAPHIC MARKETS</w:t>
        <w:br/>
        <w:t>8. According to the decision-making practice of the Authority, the geographic market for the supply of pet products is national6.</w:t>
        <w:br/>
        <w:t>9. There is no reason to challenge this delineation.</w:t>
      </w:r>
    </w:p>
    <w:p>
      <w:r>
        <w:t>B. DOWNSTREAM MARKETS FOR THE DISTRIBUTION OF PET PRODUCTS</w:t>
        <w:br/>
        <w:t>1. PRODUCT MARKETS</w:t>
        <w:br/>
        <w:t>10. The Authority has defined a market for the retail sale of gardening, DIY, pet products, and outdoor equipment7, but it has not yet been required to rule on a distinct market for the distribution of pet products.</w:t>
        <w:br/>
        <w:t>11. In the present case, the Authority considers that it is appropriate, as proposed by the notifying party, to assess the effects of the operation on a distinct market for the distribution of products intended for domestic animals, taking into account the parties' activities dedicated to the sale of this type of products. The existence of a specific market for the sale of products intended for domestic animals is consistent with the sectoral documentation and the competitive monitoring provided by the notifying party, which identifies a specific channel for the sale of pet products to the general public. This novel approach is also in line with the decision-making practice of the European Commission and the Italian competition authority8.</w:t>
        <w:br/>
        <w:t>12. During its investigation, the Authority questioned the types of operators (or distribution channels, particularly online or in stores) offering pet products that should be included in the market. It also sought to assess whether the sale of live pets should be included.</w:t>
        <w:br/>
        <w:t>On the inclusion of different distribution channels</w:t>
        <w:br/>
        <w:t>13. The notifying party argues that sales from pet stores (such as the parties' stores), specialized stores (garden centers, LISA9), and non-specialized stores (large food retailers (or "GSA") such as hypermarkets) should be included in the same market as they would be substitutable from the consumer's perspective. In this regard, see decision No. 24-DCC-127 mentioned above.</w:t>
        <w:br/>
        <w:t>7 See in this regard the decisions of the Competition Authority No. 22-DCC-167 of August 31, 2022, regarding the joint acquisition of nine Jardiland stores by the Advitam, InVivo, and EMC2 groups, and No. 24-DCC-127, mentioned above.</w:t>
        <w:br/>
        <w:t>8 See in this regard the decisions of the European Commission M.2544 of February 15, 2002, Masterfoods / Royal Canin, M.11706 of November 21, 2024, Cinven / Aise / Fressnapf, and M.10409 of September 17, 2021, Cinven/Fressnapf/Agrifarma/MaxiZoo Italia, and the decision of the Italian competition authority (Autorità garante della concorrenza e del mercato, AGCM) of February 22, 2022, Cinven Capital Management-Fressnapf Beteiligungs/Agrifarma – Maxi Zoo Italia.</w:t>
        <w:br/>
        <w:t>9 Agricultural self-service.</w:t>
      </w:r>
    </w:p>
    <w:p>
      <w:r>
        <w:t>On the other hand, it excludes online sales from the market, notably due to a "relatively low" penetration rate (15% of sales)10.</w:t>
        <w:br/>
        <w:t>The GSA</w:t>
        <w:br/>
        <w:t>14. The sectoral documentation provided by the notifying party explicitly identifies GSAs as distributors of pet products and indicates that they constitute, by far, the main distribution channel in the market11.</w:t>
        <w:br/>
        <w:t>15. Conversely, some elements tend to show that GSAs exert only limited competitive pressure on pet stores. According to data provided by the notifying party, the number of references available in GSAs is significantly lower than that of pet stores12, and the ranges offered are not identical13, which can be explained in particular by the differences in suppliers' commercial strategies (see paragraph 7). Furthermore, some players in the food distribution sector operate specialized pet stores, generally located in close proximity to GSAs, suggesting that the offer available in GSAs is not necessarily substitutable for that in pet stores14. Finally, the Authority notes that the competitive monitoring documentation of the target provided during the investigation does not include GSAs as competitors in the market for the distribution of pet products.</w:t>
        <w:br/>
        <w:t>16. In any case, the question of the integration of GSAs into the market for the distribution of pet products may remain open, as the conclusions of the competitive analysis remain unchanged regardless of the definition considered.</w:t>
        <w:br/>
        <w:t>The LISA and garden centers</w:t>
        <w:br/>
        <w:t>17. The Authority notes that LISA and garden centers exert significant competitive pressure on pet stores. Indeed, it emerges from the investigation that these two types of stores offer a wide assortment of products for domestic animals, comparable to or even greater than that available in pet stores15. Furthermore, the sectoral documentation also identifies LISA and garden centers as distributors of pet products, representing 21%16 of total sales in France.</w:t>
        <w:br/>
        <w:t>18. Consequently, the Authority considers that LISA and garden centers should be included in the market for the distribution of pet products.</w:t>
        <w:br/>
        <w:t>Online sales</w:t>
        <w:br/>
        <w:t>19. The Authority notes that some players in the pet product distribution market are developing activities both online and in physical stores, for example, MaxiZoo, which is the second largest online pet store17 and also operates 395 stores in France. This is also shown by Zoomalia's internal competitive monitoring, which includes both omnichannel players (MaxiZoo) and players present almost exclusively through physical points of sale (JMT) or online (Zooplus).</w:t>
        <w:br/>
        <w:t>20. In any case, the question of the inclusion of online sales may be left open, as the conclusions of the competitive analysis remain unchanged regardless of the definition considered.</w:t>
        <w:br/>
        <w:t>On the inclusion of the "live" category in pet products</w:t>
        <w:br/>
        <w:t>21. According to the notifying party, the sale of live pets should be taken into account within the market for the distribution of pet products, as it is a category of products that can be distributed in certain specialized stores (notably LISA and garden centers).</w:t>
        <w:br/>
        <w:t>22. Nevertheless, as noted by the notifying party itself, the main competitors of the parties (and the parties themselves) do not distribute live animals. The sale of the latter indeed requires compliance with a number of standards18 and specific skills19. Therefore, the distribution of live animals is done through other distribution channels, with a predominant role played by breeders and shelters, particularly for cats and dogs20. Other categories of animals remain distributed in garden centers and LISA and, to a lesser extent, by pet stores21.</w:t>
        <w:br/>
        <w:t>23. In any case, the sale of live animals represents a minimal share of the distribution of pet products (1.3% in value according to the figures provided by the notifying party). The question of the integration of live animals can therefore be left open.</w:t>
      </w:r>
    </w:p>
    <w:p>
      <w:r>
        <w:rPr>
          <w:b/>
        </w:rPr>
        <w:t>[Pages 7–9]</w:t>
      </w:r>
    </w:p>
    <w:p>
      <w:r>
        <w:t>ouverte, the consequences of the competitive analysis remain unchanged regardless of the definition considered.</w:t>
      </w:r>
    </w:p>
    <w:p>
      <w:r>
        <w:t>2. GEOGRAPHIC MARKETS</w:t>
        <w:br/>
        <w:t>24. In the market for the distribution of gardening, DIY, outdoor equipment, and pet products, the Authority has retained areas of 20 minutes by car from a store22, considering that this is the journey consumers are willing to make "to reach a store and compare products and prices from one brand to another."</w:t>
        <w:br/>
        <w:t>25. The investigation did not reveal any elements that would call into question this assessment regarding pet products, therefore the geographic market retained is a local market, within a 20-minute radius around the relevant point of sale.</w:t>
        <w:br/>
        <w:t>26. Furthermore, given the potential integration of online sales within the markets, the Authority considers that the analysis should also be conducted at the national level23.</w:t>
        <w:br/>
        <w:t>27. Consequently, the analysis will be conducted (i) at the national level and (ii) at the local level, in accordance with the catchment areas defined above.</w:t>
      </w:r>
    </w:p>
    <w:p>
      <w:r>
        <w:t>III. Competitive Analysis</w:t>
        <w:br/>
        <w:t>28. Regarding the upstream market for the supply of pet products, the market share of the new entity is in any case significantly below 25% in France. In the absence of allocation of this market, the competitive analysis will not be further detailed in this decision. Regarding the downstream markets for the distribution of pet products, the proposed operation leads to overlaps in the activities of the parties in several catchment areas.</w:t>
      </w:r>
    </w:p>
    <w:p>
      <w:r>
        <w:t>A. METHODOLOGICAL CLARIFICATIONS ON THE ANALYSIS OF DOWNSTREAM MARKETS</w:t>
        <w:br/>
        <w:t>29. The market shares of the new entity at the local level have been evaluated based on sales area. The notifying party took into account the area of the stores according to a coefficient reflecting the share of their sales dedicated to pet products. While the entire sales area of pet stores was taken into account, the notifying party estimated this coefficient at 20% for garden centers and LISA, of which 7 points correspond to the sale of live animals24. The delimitation of product markets having left open the question of the integration of live animals within pet products (see paragraphs 21 to 23), the Authority deemed it necessary to subtract these 7 points (and thus retain a coefficient of 13% for garden centers and LISA) in order to only take into account pet products excluding live animals in its analysis.</w:t>
        <w:br/>
        <w:t>30. At the same time, sales of live animals were not included in the calculation of market shares by value in the national market for the distribution of pet products.</w:t>
        <w:br/>
        <w:t>31. Furthermore, the Authority notes that by including – in addition to pet stores, LISA, and garden centers – (i) supermarkets and online sales25 or (ii) only online sales, the market shares of the new entity are comparable or even lower than those obtained in a market limited to pet stores, garden centers, and LISA. Therefore, the competitive analysis presented below will be conducted at the local level, taking into account only these three channels.</w:t>
        <w:br/>
        <w:t>32. Applying this methodology, the operation leads to an overlap in activities between the parties in 12 catchment areas of the target stores. The new entity will have a market share below 25% in four of them and a share between 25% and 50% in eight others. The new entity will not have a market share exceeding 50% in any catchment area.</w:t>
        <w:br/>
        <w:t>33. In accordance with its guidelines on the control of concentrations, the Authority considered that the absence of competition concerns could be presumed when the market share of the new entity was below 25%. It conducted a more detailed local assessment when the market share of the new entity was between 25% and 50%.</w:t>
      </w:r>
    </w:p>
    <w:p>
      <w:r>
        <w:t>B. ANALYSIS OF EFFECTS ON DOWNSTREAM MARKETS</w:t>
        <w:br/>
        <w:t>1. ANALYSIS OF HORIZONTAL EFFECTS AT THE NATIONAL LEVEL</w:t>
        <w:br/>
        <w:t>34. In the national market for the distribution of pet products including, in addition to sales in physical stores, online sales, the market share by value, excluding the sale of live animals, of the new entity remains below 25%, even when excluding sales made by supermarkets. Therefore, any risk of harm to competition can be ruled out in this market26.</w:t>
      </w:r>
    </w:p>
    <w:p>
      <w:r>
        <w:t>25 See in this sense the decision of the Competition Authority no. 24-DCC-129 mentioned above.</w:t>
        <w:br/>
        <w:t>26 The Authority notes that, among the parties, only Zoomalia has developed a significant online sales activity for pet products.</w:t>
      </w:r>
    </w:p>
    <w:p>
      <w:r>
        <w:t>2. ANALYSIS OF HORIZONTAL EFFECTS AT THE LOCAL LEVEL</w:t>
        <w:br/>
        <w:t>a) Analysis of the areas of Foix (09), Pamiers (09), Lourdes (65), Malemort (19), Terrasson-Lavilledieu (24), Lons (64), and Ibos (65).</w:t>
        <w:br/>
        <w:t>35. In the catchment areas of Foix (09), Pamiers (09), Lourdes (65), Malemort (19), Terrasson-Lavilledieu (24), Lons (64), and Ibos (65), the market shares of the new entity are as follows27:</w:t>
        <w:br/>
        <w:t>Market Share of Competitors</w:t>
        <w:br/>
        <w:t>Zone of the</w:t>
        <w:br/>
        <w:t>Store</w:t>
        <w:br/>
        <w:t>Pet Stores Other</w:t>
        <w:br/>
        <w:t>New Entity</w:t>
        <w:br/>
        <w:t>Garden Centers LISA</w:t>
        <w:br/>
        <w:t>Target</w:t>
        <w:br/>
        <w:t>Foix [40-50]% 3 1 3 4</w:t>
        <w:br/>
        <w:t>Pamiers [30-40]% 3 2 3 4</w:t>
        <w:br/>
        <w:t>Lourdes [30-40]% 3 2 3 4</w:t>
        <w:br/>
        <w:t>Malemort [20-30]% 3 4 5 1</w:t>
        <w:br/>
        <w:t>Terrasson- [20-30]% 2 1 4 1</w:t>
        <w:br/>
        <w:t>Lavilledieu</w:t>
        <w:br/>
        <w:t>Lons [20-30]% 3 4 5 4</w:t>
        <w:br/>
        <w:t>Ibos [20-30]% 3 2 5 5</w:t>
        <w:br/>
        <w:t>36. In its analysis, the Authority notes that these local areas present similar characteristics. The market share of the new entity is below 50% in all of them. Moreover, the new entity consistently faces competition from at least six points of sale. In addition to the number of competing operators, these catchment areas are also characterized by a diversity of sales formats since each has, at a minimum, 3 garden centers, 1 pet store, and 1 LISA, operated under various brands, several of which are of national scale, for example, the brands Gamm Vert Village and Espace Emeraud for LISA, Gamm Vert and Botanic for garden centers, or MaxiZoo and Animalis for pet stores.</w:t>
        <w:br/>
        <w:t>37. Given these elements, any risk of harm to competition can be ruled out regarding the areas of Foix (09), Pamiers (09), Lourdes (65), Malemort (19), Terrasson-Lavilledieu (24), Lons (64), and Ibos (65).</w:t>
      </w:r>
    </w:p>
    <w:p>
      <w:r>
        <w:t>b) Analysis of the area of Neufchâtel-en-Bray (76)</w:t>
        <w:br/>
        <w:t>38. The Authority's analysis particularly focused on the area of Neufchâtel-en-Bray, where the market share of the new entity approaches the 50% threshold.</w:t>
        <w:br/>
        <w:t>27 Excluding sales made by supermarkets and online sales.</w:t>
      </w:r>
    </w:p>
    <w:p>
      <w:r>
        <w:rPr>
          <w:b/>
        </w:rPr>
        <w:t>[Pages 10–11]</w:t>
      </w:r>
    </w:p>
    <w:p>
      <w:r>
        <w:t>Part of Competitors</w:t>
        <w:br/>
        <w:t>Market Zone</w:t>
        <w:br/>
        <w:t>Store</w:t>
        <w:br/>
        <w:t>Pet Stores Other</w:t>
        <w:br/>
        <w:t>new entity</w:t>
        <w:br/>
        <w:t>Garden Centers LISA</w:t>
        <w:br/>
        <w:t>target of the parties pet stores</w:t>
        <w:br/>
        <w:t>Neufchâtel-</w:t>
        <w:br/>
        <w:t>[40-50] % 2 1 1 3</w:t>
        <w:br/>
        <w:t>en-Bray</w:t>
        <w:br/>
        <w:t>39. In addition to a relatively significant market share, the Authority notes the geographical proximity of the parties' stores, which are only a few minutes apart within the municipality of Neufchâtel-en-Bray, suggesting that the two stores of the parties exert significant competitive pressure on each other.</w:t>
        <w:br/>
        <w:t>40. However, the Authority points out the presence of several competitors capable of providing an effective and sufficient counterbalance to the new entity. In this regard, a pet store (Clinicvet) and a garden center (Gamm Vert) are also located near the parties' stores in the municipality of Neufchâtel-en-Bray. According to the notifying party's data, the garden center Gamm Vert has an area of over 200 m2 dedicated to pet products, and the pet store Clinicvet has an area of [over 200] m2, which are sales areas close to each of the parties' stores. Furthermore, the Authority notes the presence of other competitors in the catchment area, namely three LISA (2 Gamm Vert Village and one Espace Emeraude).</w:t>
        <w:br/>
        <w:t>41. Given these various elements, any risk of harm to competition can be ruled out in the Neufchâtel-en-Bray area.</w:t>
      </w:r>
    </w:p>
    <w:p>
      <w:r>
        <w:t>DECIDES</w:t>
        <w:br/>
        <w:t>Single Article: The operation notified under number 25-251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