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https://www.autoritedelaconcurrence.fr/fr/decision-de-controle-des-concentrations/relative-la-prise-de-controle-exclusif-de-la-societe-488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26-DCC-44 of February 4, 2026  </w:t>
        <w:br/>
        <w:t xml:space="preserve">regarding the exclusive control acquisition of Groupe Astoria  </w:t>
        <w:br/>
        <w:t xml:space="preserve">by the CARAC group  </w:t>
        <w:br/>
        <w:t xml:space="preserve">The Competition Authority,  </w:t>
        <w:br/>
        <w:t xml:space="preserve">Having regard to the complete notification file submitted to the mergers department on January 16, 2026,  </w:t>
        <w:br/>
        <w:t xml:space="preserve">concerning the exclusive control acquisition of Groupe Astoria by the CARAC group,  </w:t>
        <w:br/>
        <w:t xml:space="preserve">formalized by a transfer contract dated January 9,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CARAC group, via the company  </w:t>
        <w:br/>
        <w:t xml:space="preserve">Eiffel Participations, a vehicle specially created for the needs of this acquisition and  </w:t>
        <w:br/>
        <w:t xml:space="preserve">exclusively controlled by the company CARAC Participations, of the entirety of the capital of  </w:t>
        <w:br/>
        <w:t xml:space="preserve">Groupe Astoria, specialized in wealth management. The operation constitutes a  </w:t>
        <w:br/>
        <w:t xml:space="preserve">concentration within the meaning of Article L. 430-1 of the Commercial Code. Given the revenues  </w:t>
        <w:br/>
        <w:t xml:space="preserve">generated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26-005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