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https://www.autoritedelaconcurrence.fr/fr/decision-de-controle-des-concentrations/relative-la-prise-de-controle-exclusif-de-la-societe-489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26-DCC-58 of February 19, 2026  </w:t>
        <w:br/>
        <w:t xml:space="preserve">regarding the exclusive control acquisition of the company Cogimont by the  </w:t>
        <w:br/>
        <w:t>company Société d’Exploitation Amidis et Compagnie (Carrefour Group)</w:t>
      </w:r>
    </w:p>
    <w:p>
      <w:r>
        <w:t>The Competition Authority,</w:t>
      </w:r>
    </w:p>
    <w:p>
      <w:r>
        <w:t xml:space="preserve">Having regard to the complete notification file submitted to the mergers department on February 3, 2026,  </w:t>
        <w:br/>
        <w:t xml:space="preserve">concerning the exclusive control acquisition of the company Cogimont by the company Société d’Exploitation  </w:t>
        <w:br/>
        <w:t xml:space="preserve">Amidis et Compagnie, formalized by a letter of intent signed on January 13, 2026;  </w:t>
        <w:br/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 xml:space="preserve">Adopts the following decision:  </w:t>
        <w:br/>
        <w:t xml:space="preserve">1. The notified operation consists of the acquisition by the company Société d’Exploitation Amidis et  </w:t>
        <w:br/>
        <w:t xml:space="preserve">Compagnie, a 100% subsidiary of the Carrefour Group, of 50% of the capital of the company Cogimont,  </w:t>
        <w:br/>
        <w:t xml:space="preserve">of which it already held half. The company Cogimont owns a business fund of a store operated under the  </w:t>
        <w:br/>
        <w:t xml:space="preserve">Carrefour Market brand in Gimont (32), with a sales area of 1,840 m², including a gas station. The operation  </w:t>
        <w:br/>
        <w:t xml:space="preserve">constitutes a concentration within the meaning of Article L. 430-1 of the Commercial Code. Given the  </w:t>
        <w:br/>
        <w:t xml:space="preserve">turnover generated by the companies involved, the operation does not fall under the jurisdiction of the  </w:t>
        <w:br/>
        <w:t xml:space="preserve">European Union. However, the control thresholds mentioned in II of Article L. 430-2 of the Commercial Code  </w:t>
        <w:br/>
        <w:t xml:space="preserve">are exceeded. This operation is therefore subject to the provisions of Articles L. 430-3 and following of the  </w:t>
        <w:br/>
        <w:t xml:space="preserve">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26-036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