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https://www.autoritedelaconcurrence.fr/fr/decision-de-controle-des-concentrations/relative-la-prise-de-controle-exclusif-de-la-societe-49</w:t>
      </w:r>
    </w:p>
    <w:p>
      <w:r>
        <w:t>Pages translated : 2</w:t>
      </w:r>
    </w:p>
    <w:p/>
    <w:p>
      <w:r>
        <w:rPr>
          <w:b/>
        </w:rPr>
        <w:t>[Pages 1–2]</w:t>
      </w:r>
    </w:p>
    <w:p>
      <w:r>
        <w:t xml:space="preserve">FRENCH REPUBLIC  </w:t>
        <w:br/>
        <w:t xml:space="preserve">Decision No. 12-DCC-128 of September 3, 2012  </w:t>
        <w:br/>
        <w:t xml:space="preserve">regarding the exclusive control acquisition of the company Texavenir II  </w:t>
        <w:br/>
        <w:t xml:space="preserve">by the company Apax MidMarket SAS  </w:t>
        <w:br/>
        <w:t xml:space="preserve">The Competition Authority,  </w:t>
        <w:br/>
        <w:t xml:space="preserve">Having regard to the complete notification file submitted to the mergers department on August 14, 2012,  </w:t>
        <w:br/>
        <w:t xml:space="preserve">concerning the exclusive control acquisition of the company Texavenir II by the company Apax MidMarket SAS, materialized by a commitment letter dated July 27, 2012;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Texavenir II, active in the sector of insurance expertise and real estate diagnostics, by the company Apax MidMarket SAS, a portfolio management company. It constitutes a concentration within the meaning of Article L. 430-1 of the Commercial Code. Given the turnover achieved by the companies concerned, the operation does not have a community dimension. On the other hand, the control thresholds relating to concentration operations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12-129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