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https://www.autoritedelaconcurrence.fr/fr/decision-de-controle-des-concentrations/relative-la-prise-de-controle-exclusif-de-la-societe-490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26-DCC-66 of March 9, 2026  </w:t>
        <w:br/>
        <w:t xml:space="preserve">regarding the exclusive control acquisition of the company Vattenfall Énergies  </w:t>
        <w:br/>
        <w:t xml:space="preserve">by the Sorégies group  </w:t>
        <w:br/>
        <w:t xml:space="preserve">The Competition Authority,  </w:t>
        <w:br/>
        <w:t xml:space="preserve">Having regard to the complete notification file sent to the mergers department on February 16, 2026,  </w:t>
        <w:br/>
        <w:t xml:space="preserve">concerning the exclusive control acquisition of the company Vattenfall Énergie SA by the Sorégies group,  </w:t>
        <w:br/>
        <w:t xml:space="preserve">formalized by a share purchase agreement dated February 13,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acquisition via the company Alterna énergie, itself  </w:t>
        <w:br/>
        <w:t xml:space="preserve">exclusively controlled by the company Sorégies, at the head of the Sorégies group, of the company  </w:t>
        <w:br/>
        <w:t xml:space="preserve">Vattenfall Energies. The relevant sector is that of electricity and gas supply.  </w:t>
        <w:br/>
        <w:t xml:space="preserve">The operation constitutes a concentration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26-037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