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https://www.autoritedelaconcurrence.fr/fr/decision-de-controle-des-concentrations/relative-la-prise-de-controle-exclusif-de-la-societe-492</w:t>
      </w:r>
    </w:p>
    <w:p>
      <w:r>
        <w:t>Pages translated : 2</w:t>
      </w:r>
    </w:p>
    <w:p/>
    <w:p>
      <w:r>
        <w:rPr>
          <w:b/>
        </w:rPr>
        <w:t>[Pages 1–2]</w:t>
      </w:r>
    </w:p>
    <w:p>
      <w:r>
        <w:t xml:space="preserve">FRENCH REPUBLIC  </w:t>
        <w:br/>
        <w:t xml:space="preserve">Decision No. 26-DCC-114 of May 11, 2026  </w:t>
        <w:br/>
        <w:t xml:space="preserve">regarding the exclusive control acquisition of the company Volterres by the  </w:t>
        <w:br/>
        <w:t xml:space="preserve">BKW group  </w:t>
        <w:br/>
        <w:t xml:space="preserve">The Competition Authority,  </w:t>
        <w:br/>
        <w:t xml:space="preserve">Having regard to the complete notification file submitted to the mergers department on April 20, 2026,  </w:t>
        <w:br/>
        <w:t xml:space="preserve">concerning the exclusive control acquisition of the company Volterres by the BKW group, formalized by  </w:t>
        <w:br/>
        <w:t xml:space="preserve">a purchase agreement dated March 5,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BKW group of the company  </w:t>
        <w:br/>
        <w:t xml:space="preserve">Volterres, which is active in the energy supply sector.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26-074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