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https://www.autoritedelaconcurrence.fr/fr/decision-de-controle-des-concentrations/relative-la-prise-de-controle-exclusif-de-la-societe-493</w:t>
      </w:r>
    </w:p>
    <w:p>
      <w:r>
        <w:t>Pages translated : 2</w:t>
      </w:r>
    </w:p>
    <w:p/>
    <w:p>
      <w:r>
        <w:rPr>
          <w:b/>
        </w:rPr>
        <w:t>[Pages 1–2]</w:t>
      </w:r>
    </w:p>
    <w:p>
      <w:r>
        <w:t xml:space="preserve">French Republic  </w:t>
        <w:br/>
        <w:t xml:space="preserve">Decision No. 26-DCC-119 of 26 May 2026  </w:t>
        <w:br/>
        <w:t xml:space="preserve">regarding the exclusive control acquisition of the company Boralex by the  </w:t>
        <w:br/>
        <w:t>company Brookfield Corporation</w:t>
      </w:r>
    </w:p>
    <w:p>
      <w:r>
        <w:t>The Competition Authority,</w:t>
      </w:r>
    </w:p>
    <w:p>
      <w:r>
        <w:t>Having regard to the complete notification file submitted to the mergers department on 6 May 2026, concerning the exclusive control acquisition of the company Boralex by the company Brookfield Corporation, formalized by an agreement signed on 25 March 2026;</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by the company Brookfield Corporation of the company Boralex, which is active in the sectors of development, construction, and operation of wind farms, photovoltaic solar power plants, and battery energy storage systems.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26-105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