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https://www.autoritedelaconcurrence.fr/fr/decision-de-controle-des-concentrations/relative-la-prise-de-controle-exclusif-de-la-societe-494</w:t>
      </w:r>
    </w:p>
    <w:p>
      <w:r>
        <w:t>Pages translated : 2</w:t>
      </w:r>
    </w:p>
    <w:p/>
    <w:p>
      <w:r>
        <w:rPr>
          <w:b/>
        </w:rPr>
        <w:t>[Pages 1–2]</w:t>
      </w:r>
    </w:p>
    <w:p>
      <w:r>
        <w:t xml:space="preserve">FRENCH REPUBLIC  </w:t>
        <w:br/>
        <w:t xml:space="preserve">Decision No. 26-DCC-127 of June 4, 2026  </w:t>
        <w:br/>
        <w:t xml:space="preserve">regarding the exclusive control acquisition of Groupe Pizzorno Environnement by Paprec Holding  </w:t>
        <w:br/>
        <w:t xml:space="preserve">The Competition Authority,  </w:t>
        <w:br/>
        <w:t xml:space="preserve">Having regard to the complete notification file submitted to the mergers department on May 4, 2026, concerning the exclusive control acquisition of Groupe Pizzorno Environnement by Paprec Holding, formalized by a shareholder agreement dated January 16, 2026;  </w:t>
        <w:br/>
        <w:t xml:space="preserve">Having regard to Book IV of the Commercial Code relating to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Paprec Holding of Groupe Pizzorno Environnement, which is active in the waste management sector and the cleaning and maintenance of sanitation networks and facilities mainly in the Provence-Alpes-Côte d’Azur region.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26-027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