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https://www.autoritedelaconcurrence.fr/fr/decision-de-controle-des-concentrations/relative-la-prise-de-controle-exclusif-de-la-societe-495</w:t>
      </w:r>
    </w:p>
    <w:p>
      <w:r>
        <w:t>Pages translated : 2</w:t>
      </w:r>
    </w:p>
    <w:p/>
    <w:p>
      <w:r>
        <w:rPr>
          <w:b/>
        </w:rPr>
        <w:t>[Pages 1–2]</w:t>
      </w:r>
    </w:p>
    <w:p>
      <w:r>
        <w:t xml:space="preserve">FRENCH REPUBLIC  </w:t>
        <w:br/>
        <w:t xml:space="preserve">Decision No. 26-DCC-137 of June 12, 2026  </w:t>
        <w:br/>
        <w:t xml:space="preserve">regarding the exclusive control acquisition of the company Masseine  </w:t>
        <w:br/>
        <w:t xml:space="preserve">by the company C.S.F. (Carrefour Group)  </w:t>
        <w:br/>
        <w:t xml:space="preserve">The Competition Authority,  </w:t>
        <w:br/>
        <w:t xml:space="preserve">Having regard to the complete notification file submitted to the mergers department on May 27, 2026,  </w:t>
        <w:br/>
        <w:t xml:space="preserve">concerning the exclusive control acquisition of the company Masseine by the company C.S.F., formalized by  </w:t>
        <w:br/>
        <w:t xml:space="preserve">a transfer protocol signed on May 27, 2026;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by the company C.S.F., a 100% subsidiary of the Carrefour Group, of the majority of the shares and voting rights of the company Masseine, which owns the business assets of a store operated under the Carrefour Market brand in Duclair (76), with a sales area of 2,000 m², including a gas station. The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26-123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