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https://www.autoritedelaconcurrence.fr/fr/decision-de-controle-des-concentrations/relative-la-prise-de-controle-exclusif-de-la-societe-496</w:t>
      </w:r>
    </w:p>
    <w:p>
      <w:r>
        <w:t>Pages translated : 2</w:t>
      </w:r>
    </w:p>
    <w:p/>
    <w:p>
      <w:r>
        <w:rPr>
          <w:b/>
        </w:rPr>
        <w:t>[Pages 1–2]</w:t>
      </w:r>
    </w:p>
    <w:p>
      <w:r>
        <w:t xml:space="preserve">FRENCH REPUBLIC  </w:t>
        <w:br/>
        <w:t xml:space="preserve">Decision No. 26-DCC-150 of July 9, 2026  </w:t>
        <w:br/>
        <w:t xml:space="preserve">regarding the acquisition of exclusive control of the company Autoroutes et Tunnel du Mont Blanc, the French company of the Fréjus Road Tunnel, and the company for Intermediate Housing by the Caisse des dépôts et consignations  </w:t>
        <w:br/>
        <w:t xml:space="preserve">The Competition Authority,  </w:t>
        <w:br/>
        <w:t xml:space="preserve">Having regard to the complete notification file submitted to the mergers department on June 24, 2026, concerning the acquisition of control of the company Autoroutes et Tunnel du Mont Blanc (hereinafter "ATMB"), the French company of the Fréjus Road Tunnel (hereinafter "SFTRF"), and the company for Intermediate Housing (hereinafter "SLI") by the Caisse des dépôts et consignations (hereinafter "CDC"), formalized by a share transfer and acquisition contract dated May 9, 2026, concerning the acquisition of exclusive control of the SLI and two purchase promises dated May 10, 2026, concerning the acquisition of exclusive control of the ATMB and the SFTRF;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two successive concentrations by which the CDC acquires exclusive control of the companies ATMB, SFTRF, and SLI. ATMB and SLI operate, as concessionaires, toll motorway networks, respectively a network of approximately 140 kilometers including the Mont-Blanc tunnel and a network of approximately 79 kilometers including the Fréjus tunnel. The SLI is active in the sector of holding and managing intermediate housing for its own account.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