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https://www.autoritedelaconcurrence.fr/fr/decision-de-controle-des-concentrations/relative-la-prise-de-controle-exclusif-de-la-societe-497</w:t>
      </w:r>
    </w:p>
    <w:p>
      <w:r>
        <w:t>Pages translated : 2</w:t>
      </w:r>
    </w:p>
    <w:p/>
    <w:p>
      <w:r>
        <w:rPr>
          <w:b/>
        </w:rPr>
        <w:t>[Pages 1–2]</w:t>
      </w:r>
    </w:p>
    <w:p>
      <w:r>
        <w:t xml:space="preserve">FRENCH REPUBLIC  </w:t>
        <w:br/>
        <w:t xml:space="preserve">Decision No. 26-DCC-146 of July 13, 2026  </w:t>
        <w:br/>
        <w:t xml:space="preserve">regarding the exclusive control acquisition of the company Ateliers Réunis du Centre Ouest by the company Le Tanneur &amp; Cie  </w:t>
        <w:br/>
        <w:t xml:space="preserve">The Competition Authority,  </w:t>
        <w:br/>
        <w:t xml:space="preserve">Having regard to the complete notification file sent to the mergers department on June 25, 2026, concerning the exclusive control acquisition of the company Ateliers Réunis du Centre Ouest by the company Newco Léonore, a subsidiary of the company Le Tanneur &amp; Cie, formalized by a unilateral acquisition promise dated June 4,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Newco Léonore, a subsidiary of the company Le Tanneur &amp; Cie, which is itself held by the company Tolomei Participations, of the company Ateliers Réunis du Centre Ouest, which is active in the markets of the production and manufacturing of luxury leather goods in France as a subcontractor. The operation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26-142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