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https://www.autoritedelaconcurrence.fr/fr/decision-de-controle-des-concentrations/relative-la-prise-de-controle-exclusif-de-la-societe-50</w:t>
      </w:r>
    </w:p>
    <w:p>
      <w:r>
        <w:t>Pages translated : 7</w:t>
      </w:r>
    </w:p>
    <w:p/>
    <w:p>
      <w:r>
        <w:rPr>
          <w:b/>
        </w:rPr>
        <w:t>[Pages 1–3]</w:t>
      </w:r>
    </w:p>
    <w:p>
      <w:r>
        <w:t>FRENCH REPUBLIC</w:t>
        <w:br/>
        <w:t>Decision No. 12-DCC-130 of September 4, 2012</w:t>
        <w:br/>
        <w:t>regarding the exclusive control of the company Groupe Unipex</w:t>
        <w:br/>
        <w:t>by the company IK Invest BV</w:t>
        <w:br/>
        <w:t>The Competition Authority,</w:t>
        <w:br/>
        <w:t>Having regard to the notification file submitted in full to the merger service on July 31, 2012,</w:t>
        <w:br/>
        <w:t>regarding the exclusive control of the company Groupe Unipex by the company IK Invest BV,</w:t>
        <w:br/>
        <w:t>formalized by a share transfer agreement dated July 31, 2012;</w:t>
        <w:br/>
        <w:t>Having regard to Book IV of the Commercial Code relating to the freedom of prices and competition, and</w:t>
        <w:br/>
        <w:t>notably its Articles L. 430-1 to L. 430-7;</w:t>
        <w:br/>
        <w:t>Adopts the following decision:</w:t>
        <w:br/>
        <w:t>I. The companies concerned and the operation</w:t>
        <w:br/>
        <w:t>1. IK Invest B.V. is a Dutch company whose activity is to invest in European companies through four investment funds. The share capital of IK Invest B.V. is held by individuals none of whom exercise a determining influence over the company. Unipex International is a simplified joint-stock company under French law, established for the purposes of the operation, indirectly controlled by one of the four IK investment funds. The companies held by the IK investment fund are active in various fields such as agri-food industry (Savena and Snack International) or chemical (Dynea).</w:t>
        <w:br/>
        <w:t>2. Groupe Unipex is a French company active in the development, manufacturing, and marketing of active ingredients intended for the cosmetic industry, as well as in the distribution of chemical specialties and active ingredients primarily for the cosmetic, pharmaceutical, agri-food, and chemical industries.</w:t>
        <w:br/>
        <w:t>3. Under the share transfer agreement dated July 31, 2012, IK Invest B.V., via the newly created Unipex International, will acquire [confidential] all of the share capital and voting rights of Groupe Unipex. As it results in the exclusive control of the company Groupe Unipex by IK Invest B.V., the operation constitutes a concentration within the meaning of Article L. 430-1 of the Commercial Code.</w:t>
        <w:br/>
        <w:t>4. The companies concerned achieved a combined consolidated worldwide turnover of more than 150 million euros in the last closed financial year (IK Invest B.V.: [...] euros for the 2011 financial year; Groupe Unipex: [...] euros for the same financial year). Each of these companies achieved a turnover in France exceeding 50 million euros (IK Invest B.V.: [...] euros for the 2011 financial year; Groupe Unipex: [...] euros for the same financial year). Given these turnovers,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br/>
        <w:t>II. Definition of the relevant markets</w:t>
        <w:br/>
        <w:t>5. The Unipex group is active in the field of chemical specialties and active ingredients and markets a range of over 2,300 products intended for the cosmetic, pharmaceutical, agri-food, and chemical industries.</w:t>
        <w:br/>
        <w:t>6. The operation does not lead to any horizontal overlap of activities. However, companies held by the IK investment funds operate in upstream or downstream markets of those in which the Unipex group is active.</w:t>
        <w:br/>
        <w:t>7. Thus, the Savena group is active in the production of ingredients intended for the agri-food industry (brine products, cheese powder, flavor blends, marinades...), located downstream of the market for the distribution of chemical specialties and active ingredients in which the Unipex group is present. The latter primarily supplies glutamates, flavoring agents, and additives to the Savena group.</w:t>
        <w:br/>
        <w:t>8. Similarly, the Snack International group produces and distributes savory snack products, located downstream of the market for the distribution of chemical specialties and active ingredients in which the Unipex group is present. Unipex is therefore likely to supply flavoring and texture agents to the Snack International group.</w:t>
        <w:br/>
        <w:t>9. Furthermore, Dynea produces additives for industrial coatings and has entered into a distribution/agency agreement with the Unipex group under which the latter acts as the exclusive distributor in France of industrial coating additives under the Dynoadd brand manufactured by Dynea. Sales made in France by Dynea to the Unipex group amounted to [...] euros in 2011 and represent less than [...] % of the total purchases of the Unipex group, which has approximately [...] suppliers in the chemical industry. Given the marginal nature of this business relationship, these markets will not be subject to competitive analysis.</w:t>
      </w:r>
    </w:p>
    <w:p>
      <w:r>
        <w:t>A. THE RELEVANT SERVICE MARKETS</w:t>
        <w:br/>
        <w:t>1. UPSTREAM MARKETS FOR CHEMICAL SPECIALTIES AND ACTIVE INGREDIENTS</w:t>
        <w:br/>
        <w:t>10. National1 and community2 competition authorities traditionally distinguish, while leaving the question open, between the manufacturing market and the distribution market for chemical products. The Unipex group is primarily active in the distribution of these products3.</w:t>
        <w:br/>
        <w:t>11. Within distribution, decision-making practice has also made a distinction according to the type of product between the market for the distribution of chemical specialties and active ingredients, the market for the distribution of bulk chemical products, and the market for the distribution of basic chemical products. In the European Union, Unipex is only active in the first of these markets.</w:t>
        <w:br/>
        <w:t>12. It has also considered a distinction between the direct distribution market of chemical specialties and active ingredients by manufacturers only and the distribution market by distributors4.</w:t>
        <w:br/>
        <w:t>13. Decision-making practice has finally considered that a subdivision should be made based on the type of industry to which the products are sold, namely, the cosmetic, pharmaceutical, chemical, and agri-food industries. Only products intended for the agri-food industry are concerned by this decision.</w:t>
        <w:br/>
        <w:t>14. Finally, the notifying party considers that the market for chemical specialties and active ingredients could be subdivided into more than 50 categories including numerous products such as glutamates and other flavoring and texture agents.</w:t>
        <w:br/>
        <w:t>15. Regarding the geographical delimitation, the French and community competition authorities have considered that the market for chemical specialties and active ingredients is at least national in dimension5, while leaving the question open.</w:t>
        <w:br/>
        <w:t>16. The notifying party considers that the market is of European, even global dimension as the products and services concerned are sold to industries generally operating in several countries, at prices relatively close from one country to another. It further indicates that there are no national preferences as the products concerned act as intermediate products in the composition of finished products, depending on technical specifications and independently of the choice of the final consumer. Finally, it indicates that transportation costs are relatively low.</w:t>
        <w:br/>
        <w:t>17. The exact delimitation of the markets can be left open in this case, as the conclusions of the competitive analysis would remain unchanged regardless of the solutions retained.</w:t>
        <w:br/>
        <w:t>1 See the decision of the minister C2008-34 / Letter from the Minister of Economy, Industry and Employment of May 13, 2008, to the advisors of the company Axa LBO Fund IV, regarding a concentration in the sector of distribution of chemical specialties and active ingredients for the cosmetic and pharmaceutical industries, published in BOCCRF No. 5 bis of June 19, 2008.</w:t>
        <w:br/>
        <w:t>2 See the decisions of the European Commission M.3344 Bann Capital/Interfer/Brenntag of January 22, 2004 and M.4836 CVC/Univar of September 17, 2007.</w:t>
        <w:br/>
        <w:t>3 The production activities of the group are limited to products intended for the cosmetic industry.</w:t>
        <w:br/>
        <w:t>4 See the aforementioned decision C2008-34.</w:t>
        <w:br/>
        <w:t>5 Op. cit.</w:t>
      </w:r>
    </w:p>
    <w:p>
      <w:r>
        <w:rPr>
          <w:b/>
        </w:rPr>
        <w:t>[Pages 4–6]</w:t>
      </w:r>
    </w:p>
    <w:p>
      <w:r>
        <w:t>2. DOWNSTREAM MARKETS FOR AGRI-FOOD PRODUCTS</w:t>
        <w:br/>
        <w:t>18. Regarding Snack International's activities in the savory biscuits sector, previous decision-making practice, while leaving the question open, did not find it relevant to distinguish between different types of products (seeds, chips, crackers...) or between private label (MDD) and manufacturer brands (MDF). It also distinguished a market for the supply of private label savory biscuits to large retailers.</w:t>
        <w:br/>
        <w:t>19. For the geographical dimension of these markets, it was considered that this dimension was at least national.</w:t>
        <w:br/>
        <w:t>20. Regarding Savena's activities, they fall into 3 sectors (food ingredients, dietary products, and food services) of which only the first is concerned by the notified operation. The decision-making practice of the European Commission tends to adopt a narrow definition of markets in the food ingredients sector. It specifically examined the category of flavor ingredients for food production, a category that corresponds to Savena's activities in the areas of functional solutions (intended to improve the taste, appearance, texture, or stability of meat-based products such as brines, binders, gelling agents, emulsifiers, spices, etc.), taste solutions (custom culinary solutions and aromatic solutions for the ready-to-eat food industry such as culinary flavors, sauce bases, coatings, marinades, broths, etc.), and nutritional solutions (formulation and packaging of dietary ingredients such as proteins and meal substitutes). The decision-making practice left open the question of whether a finer segmentation should be made within the category of flavor ingredients for food production.</w:t>
        <w:br/>
        <w:t>21. For the geographical dimension of these markets, the decision-making practice considered that it is at least Community.</w:t>
        <w:br/>
        <w:t>22. However, there is no need to conclude on the exact delimitation of the relevant markets insofar as, regardless of the solution adopted, the operation does not raise competition concerns.</w:t>
        <w:br/>
        <w:t>III. Competitive Analysis</w:t>
        <w:br/>
        <w:t>23. A vertical concentration can restrict competition by making access to the markets where the new entity will be active more difficult,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active manufacturers, thereby reducing their commercial outlets.</w:t>
        <w:br/>
        <w:t>24. To analyze the likelihood of an input lock-in scenario on the one hand, and that of customer access lock-in on the other hand, it is necessary to examine, first, whether the entity resulting from the merger would, after the merger, have the capacity to significantly lock access to inputs or customers, second, whether the incentives to do so are sufficient, and third, whether a lock-in strategy would have a significant effect on the markets concerned. The decision-making practice of competition authorities generally dismisses lock-in risks when the share of the entity resulting from the operation in the relevant markets does not exceed 30%.</w:t>
        <w:br/>
        <w:t>25. Given the activities of the parties, the effects of the operation will be examined between the upstream market for chemical specialties and active ingredients, on the one hand, and the markets for savory biscuits, on the other hand. Similarly, it is necessary to study the potential vertical effects of the operation between the upstream market for chemical specialties and active ingredients and the downstream market for ingredients for the agri-food industry.</w:t>
        <w:br/>
        <w:t>A. ANALYSIS OF VERTICAL EFFECTS BETWEEN THE MARKET FOR CHEMICAL SPECIALTIES AND ACTIVE INGREDIENTS AND THE MARKETS FOR SAVORY BISCUITS</w:t>
        <w:br/>
        <w:t>26. In the downstream market for the supply of private label savory biscuits to large retailers, Snack International holds [10-20]% market share at the national level and [0-5]% at the Community level. In the potential markets for savory chips and extruded products for appetizers, Snack International holds [70-80]% and [60-70]% market share at the national level and [10-20]% and [10-20]% at the Community level, respectively.</w:t>
        <w:br/>
        <w:t>27. For its part, the Unipex group holds less than [5-10]% of the upstream market for chemical specialties and active ingredients at both the national and Community levels, regardless of the segmentation considered.</w:t>
        <w:br/>
        <w:t>28. Currently, Snack International sources flavor and texture agents from suppliers [confidential] and not from the Unipex group. However, it cannot be ruled out that following the operation, Snack International sources from Unipex.</w:t>
        <w:br/>
        <w:t>29. However, flavor and texture agents are common products in the agri-food sector and have low added value. The notifying party indicates that they generally represent less than 5% of the total price of the finished products in which they are incorporated.</w:t>
        <w:br/>
        <w:t>30. Furthermore, the Unipex group is very minimally active with savory biscuit manufacturers, and its sales of flavor agents amounted to […] euros in 2011 [confidential]. The notifying party also indicates that many competitors such as Brenntag, Univar, Quimdis, Jan Dekker, Safic-Alcan, or IMCD are able to supply texture and flavor agents to Snack International's competitors.</w:t>
        <w:br/>
        <w:t>31. In addition, Snack International's current suppliers are large international groups that have numerous outlets for their chemical specialties and active ingredients intended for the agri-food industry.</w:t>
        <w:br/>
        <w:t>32. Therefore, the operation is not likely to harm competition through potential vertical effects between the market for chemical specialties and active ingredients and the market for savory biscuits.</w:t>
      </w:r>
    </w:p>
    <w:p>
      <w:r>
        <w:t>B. ANALYSIS OF VERTICAL EFFECTS BETWEEN THE MARKET FOR CHEMICAL SPECIALTIES AND ACTIVE INGREDIENTS AND THE MARKETS FOR FOOD INGREDIENTS</w:t>
        <w:br/>
        <w:t>33. In the market for the supply of food ingredients, the Savena group holds a market share of less than [5-10]% at the national level and [0-5]% at the Community level. In a potential segment of functional solutions, it holds a market share of approximately [10-20]% in France and less than [0-5]% at the Community level. In a potential market for taste solutions, it holds approximately [10-20]% and less than [0-5]% at the Community level. Finally, it holds less than [0-5]% market share in a potential market for nutritional solutions.</w:t>
        <w:br/>
        <w:t>34. Currently, the Savena Group primarily sources glutamate from the Unipex group. However, it cannot be ruled out that following the operation, Savena sources other chemical specialties and active ingredients from Unipex.</w:t>
        <w:br/>
        <w:t>35. However, glutamates (and other flavor and texture agents) are common products in the agri-food sector and have low added value. The notifying party indicates that glutamate represents less than 1% of the total price of the finished products in which they are incorporated.</w:t>
        <w:br/>
        <w:t>36. Moreover, purchases made by Savena from Unipex represent less than [0-5]% of the total amount of its own purchases of active ingredients and chemical specialties and a very small share of Unipex Group's revenue (less than [0-5]% of Unipex Group's sales in the market for the distribution of active ingredients and chemical specialties intended for the agri-food industry in France and at the Community level, and less than [0-5]% of its total revenue).</w:t>
        <w:br/>
        <w:t>37. Furthermore, flavor enhancers, particularly glutamate, as well as other additives and flavor agents, are offered for sale by many other competing distributors of the Unipex Group, some of which are powerful market players, such as Brenntag, Univar, Quimdis, Jan Dekker, Safic-Alcan, or IMCD.</w:t>
        <w:br/>
        <w:t>38. Therefore, the operation is not likely to harm competition through potential vertical effects between the market for chemical specialties and active ingredients and the market for food ingredients.</w:t>
      </w:r>
    </w:p>
    <w:p>
      <w:r>
        <w:rPr>
          <w:b/>
        </w:rPr>
        <w:t>[Pages 7–7]</w:t>
      </w:r>
    </w:p>
    <w:p>
      <w:r>
        <w:t xml:space="preserve">DECIDES  </w:t>
        <w:br/>
        <w:t xml:space="preserve">Sole Article: The operation notified under number 12-134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