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https://www.autoritedelaconcurrence.fr/fr/decision-de-controle-des-concentrations/relative-la-prise-de-controle-exclusif-de-la-societe-51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12-DCC-138 of September 26, 2012  </w:t>
        <w:br/>
        <w:t xml:space="preserve">regarding the exclusive control acquisition of the company Chamvyle  </w:t>
        <w:br/>
        <w:t xml:space="preserve">by ITM Alimentaire Sud Ouest  </w:t>
        <w:br/>
        <w:t xml:space="preserve">The Competition Authority,  </w:t>
        <w:br/>
        <w:t xml:space="preserve">Having regard to the complete notification file submitted to the mergers department on August 31, 2012,  </w:t>
        <w:br/>
        <w:t xml:space="preserve">concerning the acquisition of the company Chamvyle by ITM Alimentaire Sud Ouest, formalized by  </w:t>
        <w:br/>
        <w:t xml:space="preserve">a transfer protocol dated July 16, 2012.  </w:t>
        <w:br/>
        <w:t xml:space="preserve">Having regard to Book IV of the Commercial Code relating to the freedom of prices and competition, and  </w:t>
        <w:br/>
        <w:t xml:space="preserve">in particular its Articles L. 430-1 to L. 430-7;  </w:t>
        <w:br/>
        <w:t xml:space="preserve">Adopts the following decision:  </w:t>
        <w:br/>
        <w:t xml:space="preserve">1. The notified operation consists of the exclusive control acquisition of the company Chamvyle,  </w:t>
        <w:br/>
        <w:t xml:space="preserve">operating a predominantly food distribution business under the Intermarché brand with a surface area of 2,380 m² in Coarraze (64), by the company ITM Alimentaire Sud Ouest. It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12-147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