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https://www.autoritedelaconcurrence.fr/fr/decision-de-controle-des-concentrations/relative-la-prise-de-controle-exclusif-de-la-societe-52</w:t>
      </w:r>
    </w:p>
    <w:p>
      <w:r>
        <w:t>Pages translated : 6</w:t>
      </w:r>
    </w:p>
    <w:p/>
    <w:p>
      <w:r>
        <w:rPr>
          <w:b/>
        </w:rPr>
        <w:t>[Pages 1–3]</w:t>
      </w:r>
    </w:p>
    <w:p>
      <w:r>
        <w:t>FRENCH REPUBLIC</w:t>
        <w:br/>
        <w:t>Decision No. 12-DCC-163 of November 29, 2012</w:t>
        <w:br/>
        <w:t>regarding the exclusive control</w:t>
        <w:br/>
        <w:t>of Natixis Financement by the BPCE group</w:t>
        <w:br/>
        <w:t>The Competition Authority,</w:t>
        <w:br/>
        <w:t>Having regard to the notification file submitted in full to the merger service on October 24, 2012, regarding the exclusive control of Natixis Financement by the BPCE group, formalized by a share transfer agreement signed on October 19, 2012;</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Natixis Consumer Finance (hereinafter "Natixis CF") is 100% owned by Natixis, which is itself controlled and owned, to the extent of 72.4% of its capital1, by the BPCE group, a cooperative banking group resulting from the merger of the Banque Populaire Group and the Caisse d'Epargne Group2. The BPCE group is active in the sectors of commercial banking, insurance, financing and investment banking, savings management, and financial services. It relies on two cooperative banking networks composed of 19 popular banks and 17 savings banks, as well as several subsidiaries including Natixis, Crédit Foncier de France, Banque Palatine, BPCE International, and Outremer.</w:t>
        <w:br/>
        <w:t>2. Natixis Financement, a public limited company active in the field of consumer credit, is currently 67% owned by Natixis CF and 33% by BNP Paribas Personnel Finance (hereinafter "BNPP PF"), a subsidiary of the BNP Paribas group. It follows from the shareholders' agreement and the distribution of seats on the board of directors that BNPP PF has a veto right over the adoption of certain strategic decisions of Natixis Financement, such as the annual approval of the development plan, the launch or discontinuation of new product lines not provided for in the development plan. The appointment of the general manager, proposed by Natixis CF, is subject to the veto right of BNPP PF within the limit of two candidates. Finally, the agreement provides that in the event of a disagreement within the board of directors, BNPP PF may initiate a discussion procedure which, failing to reach a consensus between the two shareholders, offers BNPP PF the possibility to compel Natixis CF to acquire its entire stake in Natixis Financement. [Confidential]. In light of the above, BNPP PF had the possibility, prior to the notified operation, to exercise a decisive influence over Natixis Financement jointly with the BPCE group, via Natixis CF.</w:t>
        <w:br/>
        <w:t>3. On October 19, 2012, the parties signed a share transfer agreement whereby the BPCE group undertakes to acquire, via Natixis CF, all the shares held by BNPP PF in the capital of Natixis Financement. As it results in the exclusive control of Natixis Financement by the BPCE group, the notified operation constitutes a concentration within the meaning of Article L. 430-1 of the Commercial Code.</w:t>
        <w:br/>
        <w:t>4. The concerned companies together achieved a consolidated turnover excluding taxes worldwide of more than 150 million euros in the last closed financial year (BPCE Group: 54 billion euros as of December 31, 2011; Natixis Financement: 294 million euros for the same financial year). Each of these companies achieved, in France, a turnover exceeding 50 million euros (BPCE Group: […] euros; Natixis Financement [confidential]). The notification thresholds of Article 1 paragraph 1 of Regulation (EC) 139/2004 are exceeded, but since each of the concerned companies generates more than two-thirds of its turnover in the European Union in France, the operation does not have a community dimension. This operation is therefore subject to the provisions of Articles L. 430-3 and following of the Commercial Code relating to economic concentration.</w:t>
        <w:br/>
        <w:t>II. Delimitation of the relevant markets</w:t>
        <w:br/>
        <w:t>5. Natixis Financement is solely active in the consumer credit market, which constitutes, according to decision-making practice, one of the segments of retail banking activity3.</w:t>
        <w:br/>
        <w:t>6. The BPCE group offers a comprehensive range of banking, financial, and real estate services for all clientele and is present in certain insurance markets; it notably offers borrower insurance products that may have connectivity links with the activity of Natixis Financement. This borrower insurance market will also be delineated in terms of any vertical effects of the operation.</w:t>
        <w:br/>
        <w:t>3 See notably the letter C2006-45 from the Minister of Economy to the boards of the Caisse Nationale des Caisses d’Epargne and the Banque Fédérale des Banques Populaires and the aforementioned decision No. 09-DCC-16. See also the community decisions M.5384 BNP Paribas / Fortis, M.5432 Crédit Mutuel / Cofidis, and M.5222 Sofinco/Banco Popolare/Ducato/Agos.</w:t>
      </w:r>
    </w:p>
    <w:p>
      <w:r>
        <w:t>A. PRODUCT MARKETS</w:t>
        <w:br/>
        <w:t>1. THE CONSUMER CREDIT MARKET</w:t>
        <w:br/>
        <w:t>7. The consumer credit market concerns credits intended for individuals to finance the acquisition of consumer goods. It includes (i) assigned credits, (ii) personal loans (including revolving credits, also known as "revolving" credits), and (iii) other forms of credits (including hire-purchase and leasing with a purchase option).</w:t>
        <w:br/>
        <w:t>8. With regard to personal loans in particular, decision-making practice4 has considered a segmentation between traditional personal loans, which involve the provision of a determined sum to be repaid over a period fixed at the outset, and revolving personal loans or "revolving" loans, which are offered through an approved intermediary or directly by the credit institution and whose main characteristics may evolve over time. The revolving credit may or may not be accompanied by a bank or proprietary card. In this regard, the European Commission has also considered distinguishing within a potential market for revolving credits those linked to a card, and among them distinguishing those linked to a universal card or to a brand-specific card, while leaving these questions open5.</w:t>
        <w:br/>
        <w:t>9. In this case, all of these questions can be left open. The target is primarily active in the market for revolving loans, a market segment in which the BPCE group has been absent since 20116. In terms of traditional personal loans, Natixis Financement performs on behalf of the BPCE group a number of services related to client file management without intervening in the setting of commercial conditions or the validation of loans whose outstanding amounts are carried on the balance sheets of the BPCE group's banking entities, it is therefore not present in this market. Finally, Natixis Financement and the BPCE group have a very marginal activity in the market for assigned credits through an offer of credit linked to installment sales7.</w:t>
        <w:br/>
        <w:t>10. The operation therefore entails overlaps in activity in the overall consumer credit market on the one hand and in the potential segment of assigned credits on the other.</w:t>
        <w:br/>
        <w:t>2. THE BORROWER INSURANCE MARKET</w:t>
        <w:br/>
        <w:t>11. Borrower insurance is insurance taken out by an individual in connection with a mortgage or consumer credit. It constitutes a temporary insurance that guarantees the repayment of the credit in the event of the occurrence of a certain number of risks related to human life. Borrower insurance generally includes death coverage, total and irreversible loss of autonomy coverage, incapacity/disability coverage, and unemployment coverage. The Authority's decision-making practice has considered the existence of a borrower insurance market8.</w:t>
        <w:br/>
        <w:t>4 See the letter from the Minister dated November 27, 2002, to the boards of Cofinoga and Gaz de France, the letter C2006-45, and the aforementioned decision 09-DCC-16.</w:t>
        <w:br/>
        <w:t>5 See the aforementioned community decisions M.5384 and M.5432.</w:t>
        <w:br/>
        <w:t>6 The BPCE group does not have its own offer but its banking networks are the exclusive vector for marketing Natixis Financement products.</w:t>
        <w:br/>
        <w:t>7 This is a credit contract aimed at acquiring tangible movable goods or services sold by the lender or the credit intermediary, and whose price is paid in periodic installments of the type "payment in X times without fees."</w:t>
        <w:br/>
        <w:t>8 See decision No. 10-DCC-52 of June 2, 2010, regarding the creation of a SGAM by Macif, Maif, and Matmut.</w:t>
      </w:r>
    </w:p>
    <w:p>
      <w:r>
        <w:rPr>
          <w:b/>
        </w:rPr>
        <w:t>[Pages 4–6]</w:t>
      </w:r>
    </w:p>
    <w:p>
      <w:r>
        <w:t>12. In the field of insurance, competition authorities also distinguish between the insurance production market and the insurance distribution market9.</w:t>
      </w:r>
    </w:p>
    <w:p>
      <w:r>
        <w:t>13. In this case, the BPCE group is present in both markets. [Confidential].</w:t>
      </w:r>
    </w:p>
    <w:p>
      <w:r>
        <w:t>14. The delineation of these different product markets can nevertheless remain open, as the conclusions of the competitive analysis remain unchanged regardless of the assumptions made.</w:t>
      </w:r>
    </w:p>
    <w:p>
      <w:r>
        <w:t>B. GEOGRAPHICAL DELINEATION</w:t>
      </w:r>
    </w:p>
    <w:p>
      <w:r>
        <w:t>15. Competition authorities traditionally consider that retail banking markets are national in scope10. Furthermore, it is a consistent practice to consider that each of the overseas departments and regions (DROM) constitutes a distinct geographical market, given the significant distance from the mainland, insularity, and the specificities of local economies11.</w:t>
      </w:r>
    </w:p>
    <w:p>
      <w:r>
        <w:t>16. In the field of insurance, with the exception of coverage for certain large-scale risks, the markets are national in scope12.</w:t>
      </w:r>
    </w:p>
    <w:p>
      <w:r>
        <w:t>17. Natixis Financement is present in metropolitan France, Réunion, and Guadeloupe.</w:t>
      </w:r>
    </w:p>
    <w:p>
      <w:r>
        <w:t>III. Competitive Analysis</w:t>
      </w:r>
    </w:p>
    <w:p>
      <w:r>
        <w:t>18. The framework for analyzing the present operation is that of the transition from joint control to exclusive control. In previous cases, both national and community competition authorities have emphasized that this change in the nature of control is generally not likely to significantly alter the conditions of competition, except in more complex cases involving parties that were in a competitive situation prior to the concentration. In this context, the fact that a company remains solely able to exert a decisive influence on the target, without having to contend with potentially differing interests of other partners and to cooperate with them, may alter its incentives and produce effects on the competitive structure of the market13.</w:t>
      </w:r>
    </w:p>
    <w:p>
      <w:r>
        <w:t>9 See decisions n°09-DCC-16 mentioned above and community decisions M.3556 Fortis / BCP, M.862 AXA/UAP.</w:t>
      </w:r>
    </w:p>
    <w:p>
      <w:r>
        <w:t>10 See letters C2005-34 to the boards of BNP Paribas and Galeries Lafayette, C2003-219 Crédit Foncier de France / Entenial, C2005-107 to the boards of Banque Populaire and Covéa groups, C2006-45 and decision n°09-DCC-16 mentioned above.</w:t>
      </w:r>
    </w:p>
    <w:p>
      <w:r>
        <w:t>11 See letters C2006-45, C2003-139 and decision 09-DCC-16 mentioned above.</w:t>
      </w:r>
    </w:p>
    <w:p>
      <w:r>
        <w:t>12 See in particular decisions n°09-DCC-16 and n°10-DCC-52 mentioned above and community decisions M.3556 and M.862 mentioned above.</w:t>
      </w:r>
    </w:p>
    <w:p>
      <w:r>
        <w:t>13 See in particular community decision COMP/M.5141, KLM/Martinair or decision of the Competition Authority n°11-DCC-34 of February 25, 2011, GDF Suez/Ne varietur.</w:t>
      </w:r>
    </w:p>
    <w:p>
      <w:r>
        <w:t>A. HORIZONTAL EFFECTS</w:t>
      </w:r>
    </w:p>
    <w:p>
      <w:r>
        <w:t>19. In this case, the acquirer and the target are simultaneously active in the only segment of assigned credit or, in the case of a global market, in the consumer credit market.</w:t>
      </w:r>
    </w:p>
    <w:p>
      <w:r>
        <w:t>20. In the assigned credit segment, the parties have very marginal activity (Natixis Financement: [0-5]%; BPCE Group: [0-5]%) and the exclusive control of Natixis Financement by the BPCE group is not likely to raise competitive concerns.</w:t>
      </w:r>
    </w:p>
    <w:p>
      <w:r>
        <w:t>21. In the case of a global consumer credit market, the BPCE group would hold a more significant position ([10-20]%) but which cannot be affected by the exclusive control of Natixis Financement given its limited positions ([0-5]%). The same applies to the markets of Réunion and Guadeloupe, with the BPCE group's position estimated at [10-20]% and [20-30]% respectively, while that of Natixis Financement is at […] points in Réunion and […] points in Guadeloupe.</w:t>
      </w:r>
    </w:p>
    <w:p>
      <w:r>
        <w:t>22. Across all these markets, the BPCE group will continue to face competition from numerous comparably sized players such as the Crédit Agricole groups (Sofinco), Credit Mutuel (Cofidis), and notably from the BNP Paribas group through its subsidiary Cetelem, exiting the capital of Natixis Financement in connection with this operation.</w:t>
      </w:r>
    </w:p>
    <w:p>
      <w:r>
        <w:t>23. It should also be noted that prior to the operation, the integration of Natixis Financement and the BPCE group is already strong, as the banking networks of the BPCE group are the exclusive channel for marketing Natixis Financement's products.</w:t>
      </w:r>
    </w:p>
    <w:p>
      <w:r>
        <w:t>24. Consequently, and without the need to further analyze the effect of BNP's exit from the capital of the target on its commercial policy, the operation is not likely to harm competition through horizontal effects.</w:t>
      </w:r>
    </w:p>
    <w:p>
      <w:r>
        <w:t>B. VERTICAL EFFECTS</w:t>
      </w:r>
    </w:p>
    <w:p>
      <w:r>
        <w:t>25. The BPCE group is active in the insurance sector, particularly in the markets for the production and distribution of borrower insurance products subscribed by individuals in connection with a mortgage or consumer credit. In the context of its consumer credit activity, Natixis Financement offers these optional insurance products that clients can subscribe to at their discretion. There is therefore a vertical relationship between the parties to the operation.</w:t>
      </w:r>
    </w:p>
    <w:p>
      <w:r>
        <w:t>26. However, the parties hold significantly less than 25% market shares in both upstream and downstream markets, regardless of the market delineation retained, and this does not allow for any leverage effect.</w:t>
      </w:r>
    </w:p>
    <w:p>
      <w:r>
        <w:t>27. [Confidential].</w:t>
      </w:r>
    </w:p>
    <w:p>
      <w:r>
        <w:t>28. It follows from the above that the notified operation is not likely to harm competition.</w:t>
      </w:r>
    </w:p>
    <w:p>
      <w:r>
        <w:t>DECIDES</w:t>
      </w:r>
    </w:p>
    <w:p>
      <w:r>
        <w:t>Sole Article: The operation notified under number 12-157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