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12-DCC-174 of December 7, 2012  </w:t>
        <w:br/>
        <w:t xml:space="preserve">regarding the exclusive control acquisition of the company Carpendis  </w:t>
        <w:br/>
        <w:t xml:space="preserve">by the company ITM Alimentaire Sud-Est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13, 2012, concerning the exclusive control acquisition of the company Carpendis by the company  </w:t>
        <w:br/>
        <w:t xml:space="preserve">ITM Alimentaire Sud-Est, materialized by a share transfer agreement dated  </w:t>
        <w:br/>
        <w:t xml:space="preserve">June 24, 2008, and its amendment of July 1, 2010, containing a sale option, and by the letter of  </w:t>
        <w:br/>
        <w:t xml:space="preserve">June 21, 2012, by which Mr. Deshayes exercises his sale option;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Carpendis, which  </w:t>
        <w:br/>
        <w:t xml:space="preserve">operates a retail business predominantly in food under the brand Intermarché with a surface area of  </w:t>
        <w:br/>
        <w:t xml:space="preserve">1,700 m2 in the city of Carpentras (84), by the company ITM Alimentaire Sud-Est. It constitutes a  </w:t>
        <w:br/>
        <w:t xml:space="preserve">concentration operation within the meaning of Article L. 430-1 of the Commercial Code. Given the  </w:t>
        <w:br/>
        <w:t xml:space="preserve">turnover generated by the companies involved, the operation does not have a community dimension.  </w:t>
        <w:br/>
        <w:t xml:space="preserve">On the other hand, the control thresholds related to retail trade mentioned in point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12-189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