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https://www.autoritedelaconcurrence.fr/fr/decision-de-controle-des-concentrations/relative-la-prise-de-controle-exclusif-de-la-societe-55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12-DCC-175 of December 7, 2012  </w:t>
        <w:br/>
        <w:t xml:space="preserve">regarding the exclusive control acquisition of the company Pralins  </w:t>
        <w:br/>
        <w:t xml:space="preserve">by the company ITM Alimentaire Centre Est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November 16, 2012, concerning the exclusive control acquisition of the company Pralins by the company  </w:t>
        <w:br/>
        <w:t xml:space="preserve">ITM Alimentaire Centre Est, formalized by a share transfer agreement dated  </w:t>
        <w:br/>
        <w:t xml:space="preserve">November 8, 2012;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Pralins, which operates  </w:t>
        <w:br/>
        <w:t xml:space="preserve">a food distribution business under the Intermarché brand with a surface area of  </w:t>
        <w:br/>
        <w:t xml:space="preserve">1,950 m² in Praz-sur-Arly (74), by the company ITM Alimentaire Centre Est. It constitutes a  </w:t>
        <w:br/>
        <w:t xml:space="preserve">concentration operation within the meaning of Article L. 430-1 of the Commercial Code. Given  </w:t>
        <w:br/>
        <w:t xml:space="preserve">the turnover achieved by the companies concerned, the operation does not have a  </w:t>
        <w:br/>
        <w:t xml:space="preserve">community dimension. On the other hand, the control thresholds related to retail trade  </w:t>
        <w:br/>
        <w:t xml:space="preserve">mentioned in point II of Article L. 430-2 of the Commercial Code are exceeded. The present  </w:t>
        <w:br/>
        <w:t xml:space="preserve">operation is therefore subject to the provisions of Articles L. 430-3 and following of the Commercial  </w:t>
        <w:br/>
        <w:t xml:space="preserve">Code relating to economic concentration.  </w:t>
        <w:br/>
        <w:t xml:space="preserve">2. In view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12-192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