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https://www.autoritedelaconcurrence.fr/fr/decision-de-controle-des-concentrations/relative-la-prise-de-controle-exclusif-de-la-societe-56</w:t>
      </w:r>
    </w:p>
    <w:p>
      <w:r>
        <w:t>Pages translated : 7</w:t>
      </w:r>
    </w:p>
    <w:p/>
    <w:p>
      <w:r>
        <w:rPr>
          <w:b/>
        </w:rPr>
        <w:t>[Pages 1–3]</w:t>
      </w:r>
    </w:p>
    <w:p>
      <w:r>
        <w:t xml:space="preserve">FRENCH REPUBLIC  </w:t>
        <w:br/>
        <w:t xml:space="preserve">Decision No. 12-DCC-18 of February 13, 2012  </w:t>
        <w:br/>
        <w:t>regarding the exclusive control of the Société Immobilière de Location pour l’Industrie et le Commerce by the company Icade</w:t>
      </w:r>
    </w:p>
    <w:p>
      <w:r>
        <w:t xml:space="preserve">The Competition Authority,  </w:t>
        <w:br/>
        <w:t xml:space="preserve">Having regard to the notification file submitted in full to the concentrations service on January 9, 2012, regarding the exclusive control of the Société Immobilière de Location pour l’Industrie et le Commerce (hereinafter "Silic") by the company Icade (hereinafter "Icade"), formalized by a memorandum of understanding dated December 13, 2011, a firm offer letter from the Caisse des Dépôts et Consignations and Icade dated December 22, 2011, and an acceptance letter of this offer by Groupama SA dated December 30, 2011;  </w:t>
        <w:br/>
        <w:t xml:space="preserve">Having regard to Book IV of the Commercial Code relating to the freedom of prices and competition, and in particular its Articles L. 430-1 to L. 430-10;  </w:t>
        <w:br/>
        <w:t xml:space="preserve">Having regard to the additional elements transmitted by the parties during the investigation;  </w:t>
        <w:br/>
        <w:t>Adopts the following decision:</w:t>
      </w:r>
    </w:p>
    <w:p>
      <w:r>
        <w:t xml:space="preserve">I. The concerned companies and the operation  </w:t>
        <w:br/>
        <w:t xml:space="preserve">1. Icade is a public limited company that has opted for the status of a listed real estate investment company (SIIC), controlled by the Caisse des Dépôts et Consignations (hereinafter "CDC"). It owns and manages for its own account a portfolio of commercial and residential real estate assets. It is also active in the real estate development sector and in the administration of real estate for a clientele of institutional investors and individuals. Furthermore, Icade provides real estate consulting, real estate appraisal services, and acts as an intermediary by conducting transactions on behalf of institutional clients, both for their housing and their offices.  </w:t>
        <w:br/>
        <w:t xml:space="preserve">2. The CDC is a public establishment with a special legal status, governed by Articles L. 518-2 and following of the Monetary and Financial Code, which fulfills missions of general interest in support of public policies conducted by the State and local authorities, and which engages in activities open to competition. These are grouped around four poles:  </w:t>
        <w:br/>
        <w:t xml:space="preserve">(i) real estate through Icade and the Société Nationale Immobilière,  </w:t>
        <w:br/>
        <w:t xml:space="preserve">(ii) the environment, (iii) services, and (iv) the development of SMEs and venture capital.  </w:t>
        <w:br/>
        <w:t xml:space="preserve">3. Silic is a real estate company controlled by Groupama SA. It is active in the real estate services sector and owns and manages a portfolio of commercial real estate assets in the Ile-de-France region. Silic controls the company Socomie, which constructs, manages, and operates real estate assets and engages in property management activities for commercial use and brokerage in real estate transactions.  </w:t>
        <w:br/>
        <w:t xml:space="preserve">4. The notified transaction, formalized by a memorandum of understanding dated December 13, 2011, a firm offer letter from CDC and Icade dated December 22, 2011, and an acceptance letter of this offer by Groupama SA dated December 30, 2011, consists of the acquisition by the CDC, via Icade, of 43.95% of the capital and 44.03% of the voting rights of Silic from Groupama SA. The analysis of the history of the ordinary general meetings of Silic shows that the sellers, with their minority participation, had the majority of the votes cast. [Confidential]. Therefore, the operation constitutes a concentration within the meaning of Article L. 430-1 of the Commercial Code.  </w:t>
        <w:br/>
        <w:t>5. The concerned companies together achieved a consolidated turnover excluding taxes worldwide of more than 150 million euros in the last closed financial year (the CDC group: 24.53 billion euros for the 2010 financial year; the Silic group: 202.6 million euros for the same financial year). Each of these companies achieved, in France, a turnover exceeding 50 million euros (the CDC group: 18.4 billion euros for the 2010 financial year; Silic: 202.6 million euros for the same financial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parties are simultaneously present in the real estate services sector.  </w:t>
        <w:br/>
        <w:t xml:space="preserve">A. MARKETS FOR PRODUCTS AND SERVICES  </w:t>
        <w:br/>
        <w:t xml:space="preserve">7. The decisional practice has considered, while leaving the question open, different segmentations in the real estate sector according to (i) the recipients of the services (individuals or businesses), (ii) the pricing method (free residential real estate, social housing or assisted intermediate housing), (iii) the type of activity carried out in the premises (offices, commercial premises, and other activity premises), and (iv) the nature of the services or goods offered.  </w:t>
        <w:br/>
        <w:t xml:space="preserve">1 See in particular the decisions of the Competition Authority No. 11-DCC-138 of September 30, 2011, regarding the exclusive control by Altarea of Urbat Promotion, and No. 10-DCC-13 of January 29, 2010, regarding the exclusive control by Icade S.A. of Compagnie la Lucette SA; as well as the letter from the Minister of Economy, Industry and Employment C2008-79 of August 22, 2008, to the advisors of CDC and Eurosic, regarding a concentration in the real estate sector. See also in particular the decision of the European Commission COMP/M.3370 - BNP Paribas / ARI, of March 9, 2004.  </w:t>
        <w:br/>
        <w:t>2</w:t>
      </w:r>
    </w:p>
    <w:p>
      <w:r>
        <w:t xml:space="preserve">8. With regard to segmentation according to the nature of the services or goods offered, the decisional practice has considered distinguishing between:  </w:t>
        <w:br/>
        <w:t xml:space="preserve">- real estate development, which includes construction and sale activities of real estate properties;  </w:t>
        <w:br/>
        <w:t xml:space="preserve">- management of real estate assets for own account;  </w:t>
        <w:br/>
        <w:t xml:space="preserve">- management of real estate assets for third-party account;  </w:t>
        <w:br/>
        <w:t xml:space="preserve">- real estate administration, which covers property management activities on behalf of owners and can be segmented between rental management and co-ownership management;  </w:t>
        <w:br/>
        <w:t xml:space="preserve">- real estate appraisal;  </w:t>
        <w:br/>
        <w:t xml:space="preserve">- real estate consulting;  </w:t>
        <w:br/>
        <w:t xml:space="preserve">- intermediation in real estate transactions, for which intermediation in purchase/sale operations is distinguished from intermediation in rental operations.  </w:t>
        <w:br/>
        <w:t xml:space="preserve">9. Regarding segmentation according to the destination of the premises, the Minister of Economy, while leaving the question open, has considered a segmentation between shopping centers and commercial premises at the foot of buildings, as well as a segmentation of shopping centers according to their size. In this case, it is not necessary to resolve this question, given the low market shares of the notifying parties.  </w:t>
        <w:br/>
        <w:t xml:space="preserve">B. GEOGRAPHICAL MARKETS  </w:t>
        <w:br/>
        <w:t xml:space="preserve">10. The decisional practice has considered that the markets related to the real estate sector are generally of infranational dimension, while leaving the question open. It has also considered a delineation at the national level for the markets of real estate services intended for businesses when investment operations are carried out by large investors.  </w:t>
        <w:br/>
        <w:t xml:space="preserve">11. In this case, since Silic is only present in the Ile-de-France region, the activities of the parties only overlap in this region.  </w:t>
        <w:br/>
        <w:t xml:space="preserve">12. Regarding this area, the decisional practice has noted that "the Paris region has particular properties of continuity of urban areas. Indeed, there is a vast, highly urbanized, and homogeneous area covering most of Ile-de-France, served by a comprehensive transport network; residents are always able to arbitrate between different  </w:t>
        <w:br/>
        <w:t xml:space="preserve">2 See in particular the decisions of the Competition Authority No. 11-DCC-138 and 10-DCC-13 mentioned above.  </w:t>
        <w:br/>
        <w:t xml:space="preserve">3 See the letter from the Minister of Economy, Finance and Employment C2007-52 of May 22, 2007, to the advisors of Unibail, regarding a concentration in the real estate services sector.  </w:t>
        <w:br/>
        <w:t xml:space="preserve">4 See in particular the decision of the Competition Authority No. 10-DCC-13 of January 29, 2010, regarding the control by Icade SA of Compagnie La Lucette SA; the decision of the Competition Authority No. 09-DCC-16 of June 22, 2009, regarding the merger between the Caisse d’Epargne and Banque populaire groups; the letter from the Minister of Economy, Finance and Industry of November 25, 2005, to the advisors of Foncière des régions, regarding a concentration in the real estate sector; and the decision of the European Commission COMP/M. 2825 of July 9, 2002, Fortis AG SA / Bernheim-Comofi SA.  </w:t>
        <w:br/>
        <w:t xml:space="preserve">5 See in particular the decisions of the Competition Authority No. 09-DCC-16 mentioned above and the decision of the Competition Authority No. 10-DCC-112 of September 17, 2010, regarding the joint control by Prédica and Altaréa of Alta Marigny Carré des Soies.  </w:t>
        <w:br/>
        <w:t xml:space="preserve">6 See in particular the decision of the Competition Authority No. 10-DCC-13 mentioned above and the letter from the Minister of Economy, Finance and Industry C2006-151 of January 10, 2007, to the advisors of the Société nationale immobilière group, regarding a concentration in the sector of development and management of real estate parks primarily for residential purposes.  </w:t>
        <w:br/>
        <w:t>3</w:t>
      </w:r>
    </w:p>
    <w:p>
      <w:r>
        <w:rPr>
          <w:b/>
        </w:rPr>
        <w:t>[Pages 4–6]</w:t>
      </w:r>
    </w:p>
    <w:p>
      <w:r>
        <w:t>parties of the region. This substitutability leads to a convergence of price levels. Therefore, the regional level is the most appropriate for competitive analysis."</w:t>
      </w:r>
    </w:p>
    <w:p>
      <w:r>
        <w:t>13. For the markets of holding and managing real estate assets, the parties consider that a delineation of the markets concerned by the operation at the regional, or even departmental level, can be envisaged. For the markets i) of the administration of real estate for commercial use, ii) of intermediation in real estate transactions, iii) of real estate consulting, and iv) of real estate appraisal, the parties consider that the concerned markets have a national size.</w:t>
      </w:r>
    </w:p>
    <w:p>
      <w:r>
        <w:t>14. However, the question of the exact delineation of the relevant markets can be left open because the conclusions of the competitive analysis remain unchanged regardless of the delineation retained.</w:t>
      </w:r>
    </w:p>
    <w:p>
      <w:r>
        <w:t>15. In this case, the competitive analysis will be conducted at the regional and departmental levels for the markets of holding and managing real estate assets, and at the regional and national levels for the other markets concerned by the operation.</w:t>
      </w:r>
    </w:p>
    <w:p>
      <w:r>
        <w:t>III. Competitive Analysis</w:t>
      </w:r>
    </w:p>
    <w:p>
      <w:r>
        <w:t>16. The competitive analysis will be conducted on the following markets, on which the CDC group and Silic are simultaneously present:</w:t>
        <w:br/>
        <w:t>- the markets of holding and managing for own account real estate assets for office use, commercial premises (segmented between shopping centers and ground-floor commercial premises) and activity premises;</w:t>
        <w:br/>
        <w:t>- the market for the administration of real estate for commercial use;</w:t>
        <w:br/>
        <w:t>- and the market for intermediation in real estate transactions.</w:t>
      </w:r>
    </w:p>
    <w:p>
      <w:r>
        <w:t>17. Furthermore, an analysis of the potential vertical effects of the operation due to the presence of the parties in the market for intermediation in real estate transactions, and the presence of the CDC group in the markets for real estate consulting and real estate appraisal, will also be conducted.</w:t>
      </w:r>
    </w:p>
    <w:p>
      <w:r>
        <w:t>A. ANALYSIS OF HORIZONTAL EFFECTS</w:t>
      </w:r>
    </w:p>
    <w:p>
      <w:r>
        <w:t>1. MARKETS OF HOLDING AND MANAGING FOR OWN ACCOUNT REAL ESTATE ASSETS</w:t>
      </w:r>
    </w:p>
    <w:p>
      <w:r>
        <w:t>18. Regarding real estate assets for office use in the Ile-de-France region, the CDC represents [0-5]% of the market for holding and managing for own account real estate assets for office use and Silic represents [0-5]% of said market. The combined market share of the parties to the operation is therefore [0-5]%.</w:t>
      </w:r>
    </w:p>
    <w:p>
      <w:r>
        <w:t>19. At the departmental level, the combined market share of the parties is less than [10-20]%, regardless of the department in Ile-de-France where they are simultaneously present (Paris (75), Essonne (91), Hauts de Seine (92), Seine-Saint-Denis (93), Val-de-Marne (94) and Val d'Oise (95)), and the parties will face competition from many significant operators such as Gecina, Unibail, Société Foncière Lyonnaise, or Klépierre.</w:t>
      </w:r>
    </w:p>
    <w:p>
      <w:r>
        <w:t>20. Regarding real estate assets for commercial premises in the Ile-de-France region, the combined market share of the parties is [0-5]% ([0-5]% for the CDC and [0-5]% for Silic). Together, they represent less than [0-5]% of the departmental market in Hauts-de-Seine (92), Seine-Saint-Denis (93), and Val-de-Marne (94), the only departments where the parties are simultaneously active.</w:t>
      </w:r>
    </w:p>
    <w:p>
      <w:r>
        <w:t>21. If a segmentation between shopping centers and ground-floor commercial premises is retained, the combined market shares of the parties are less than [0-5]% in both segments.</w:t>
      </w:r>
    </w:p>
    <w:p>
      <w:r>
        <w:t>22. Regarding real estate assets for activity premises in the Ile-de-France region, the respective market shares of the CDC and Silic are [0-5]% and [0-5]%, resulting in a combined market share of the parties of [0-5]%. At the departmental level, the parties are only simultaneously present in Seine-Saint-Denis where their combined market share is less than [0-5]%.</w:t>
      </w:r>
    </w:p>
    <w:p>
      <w:r>
        <w:t>23. The operation is therefore not likely to harm competition in the various markets of holding and managing for own account real estate assets.</w:t>
      </w:r>
    </w:p>
    <w:p>
      <w:r>
        <w:t>2. MARKET FOR THE ADMINISTRATION OF REAL ESTATE FOR COMMERCIAL USE</w:t>
      </w:r>
    </w:p>
    <w:p>
      <w:r>
        <w:t>24. At the national level, in the market for the administration of real estate for commercial use, the market share of the CDC is less than 10% and that of Silic is less than [0-5]%. The combined market share of the parties is therefore less than [10-20]%.</w:t>
      </w:r>
    </w:p>
    <w:p>
      <w:r>
        <w:t>25. At the regional level, in Ile-de-France, the combined market share of the parties is also less than [10-20]%.</w:t>
      </w:r>
    </w:p>
    <w:p>
      <w:r>
        <w:t>26. Moreover, the new entity will face competition from significant operators such as Nexity Saggel, BNP Real Estate Property Management, Adyal, Telmma, Yxime, CB Richard Ellis PM, or Cushman &amp; Wakefield PM.</w:t>
      </w:r>
    </w:p>
    <w:p>
      <w:r>
        <w:t>27. Consequently, the operation is not likely to harm competition in the market for the administration of real estate for commercial use.</w:t>
      </w:r>
    </w:p>
    <w:p>
      <w:r>
        <w:t>3. MARKET FOR INTERMEDIATION IN REAL ESTATE TRANSACTIONS</w:t>
      </w:r>
    </w:p>
    <w:p>
      <w:r>
        <w:t>28. The combined market share of the parties in the market for intermediation in real estate transactions is less than [0-5]% at the national level and less than 10% at the level of the Ile-de-France region.</w:t>
      </w:r>
    </w:p>
    <w:p>
      <w:r>
        <w:t>29. They will also face competition from many significant players (notably Nexity Saggel, BNP Real Estate Property Management, Adyal, Telmma, Yxime, CB Richard Ellis PM, or Cushman &amp; Wakefield PM).</w:t>
      </w:r>
    </w:p>
    <w:p>
      <w:r>
        <w:t>30. The operation is therefore not likely to harm competition in this market.</w:t>
      </w:r>
    </w:p>
    <w:p>
      <w:r>
        <w:t>B. ANALYSIS OF VERTICAL EFFECTS</w:t>
      </w:r>
    </w:p>
    <w:p>
      <w:r>
        <w:t>31.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32. In this case, the parties are present in the "upstream" markets of holding and managing for own account real estate assets and the administration of real estate for commercial use, and the CDC is active in the "downstream" markets of real estate consulting, real estate appraisal, and intermediation in real estate transactions. Silic is also active in this last market. It is therefore necessary to analyze the vertical effects induced by the operation in these markets.</w:t>
      </w:r>
    </w:p>
    <w:p>
      <w:r>
        <w:t>33. However, the decisional practice of competition authorities generally dismisses lock-in risks when the market share of the entity resulting from the operation in the concerned markets does not exceed 30%. Now, in this case, as mentioned above, the CDC and Silic hold a combined market share of less than [10-20]%, regardless of the segmentation and geographical delineation retained, in the aforementioned "upstream" markets.</w:t>
      </w:r>
    </w:p>
    <w:p>
      <w:r>
        <w:t>34. Furthermore, in the "downstream" markets, the market share of the CDC for real estate consulting is [0-5]% at the national level and is less than 5% in the Ile-de-France region. For real estate appraisal, the CDC holds a market share of [0-5]% at the national level, and less than 5% in Ile-de-France. For intermediation in real estate transactions, the parties hold a combined market share of less than [0-5]% at the national level and less than 5% at the level of the Ile-de-France region.</w:t>
      </w:r>
    </w:p>
    <w:p>
      <w:r>
        <w:t>35. Consequently, the operation is not likely to harm competition through vertical effects.</w:t>
      </w:r>
    </w:p>
    <w:p>
      <w:r>
        <w:rPr>
          <w:b/>
        </w:rPr>
        <w:t>[Pages 7–7]</w:t>
      </w:r>
    </w:p>
    <w:p>
      <w:r>
        <w:t xml:space="preserve">DECIDES  </w:t>
        <w:br/>
        <w:t xml:space="preserve">Sole Article: The notified transaction under number 11-251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