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https://www.autoritedelaconcurrence.fr/fr/decision-de-controle-des-concentrations/relative-la-prise-de-controle-exclusif-de-la-societe-57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12-DCC-180 of December 27, 2012  </w:t>
        <w:br/>
        <w:t xml:space="preserve">regarding the exclusive control acquisition of the company Philfred  </w:t>
        <w:br/>
        <w:t xml:space="preserve">by the company ITM Alimentaire Nord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7, 2012, concerning the exclusive control acquisition of the company Philfred by the company  </w:t>
        <w:br/>
        <w:t xml:space="preserve">ITM Alimentaire Nord, formalized by a letter of intent for a purchase offer dated  </w:t>
        <w:br/>
        <w:t xml:space="preserve">September 8,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Philfred, which  </w:t>
        <w:br/>
        <w:t xml:space="preserve">operates a food distribution business under the Intermarché brand with a surface area of 2,017 m² in Oisemont (80), by the company ITM Alimentaire Nord, a subsidiary of ITM  </w:t>
        <w:br/>
        <w:t xml:space="preserve">Entreprises. It constitutes a concentration operation within the meaning of Article L. 430-1 of  </w:t>
        <w:br/>
        <w:t xml:space="preserve">the Commercial Code. Given the turnover achieved by the companies concerned, the operation does not have a community dimension. On the other hand, the control thresholds  </w:t>
        <w:br/>
        <w:t xml:space="preserve">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12-205 is authorized.  </w:t>
        <w:br/>
        <w:t xml:space="preserve">The Vice-President,  </w:t>
        <w:br/>
        <w:t xml:space="preserve">Françoise Aubert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