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https://www.autoritedelaconcurrence.fr/fr/decision-de-controle-des-concentrations/relative-la-prise-de-controle-exclusif-de-la-societe-6</w:t>
      </w:r>
    </w:p>
    <w:p>
      <w:r>
        <w:t>Pages translated : 5</w:t>
      </w:r>
    </w:p>
    <w:p/>
    <w:p>
      <w:r>
        <w:rPr>
          <w:b/>
        </w:rPr>
        <w:t>[Pages 1–3]</w:t>
      </w:r>
    </w:p>
    <w:p>
      <w:r>
        <w:t xml:space="preserve">FRENCH REPUBLIC  </w:t>
        <w:br/>
        <w:t xml:space="preserve">Decision No. 10-DCC-09 of February 3, 2010  </w:t>
        <w:br/>
        <w:t xml:space="preserve">regarding the exclusive control of the company Menaphi SAS by the  </w:t>
        <w:br/>
        <w:t xml:space="preserve">company ITM Alimentaire Région Parisienne (ITM Entreprises Group)  </w:t>
        <w:br/>
        <w:t xml:space="preserve">The Competition Authority,  </w:t>
        <w:br/>
        <w:t xml:space="preserve">Having regard to the notification file submitted in full to the merger service on December 30, 2009, regarding the acquisition of control of the company Menaphi SAS by the company ITM Alimentaire Région Parisienne;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The company ITM Entreprises, 100% controlled by the Société civile des Mousquetaires, itself held by 1,330 individuals known as "associated members," leads and animates the network of independent merchants known as the "Groupement des Mousquetaires." As a franchisor, the company ITM Entreprises has as its main activity the animation of a network of retail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outlets. ITM Entreprises also provides its franchisees with various services for prospecting, consulting, training, etc. Finally, ITM Entreprises offers franchisees the opportunity to benefit from advantageous supply conditions with its national and regional subsidiaries as well as with external suppliers referenced outside the "Groupement des Mousquetaires."  </w:t>
        <w:br/>
        <w:t xml:space="preserve">2. The company ITM Alimentaire Région Parisienne is a French law company held at [&gt;50]% by the company ITM Alimentaire France, itself held by the company ITM Entreprises, and at [&lt;50]% by the company ITM Entreprises. The company ITM Entreprises has entrusted to the company ITM Alimentaire Région Parisienne the animation and development of the network of franchisees operating under the food brands Intermarché, Ecomarché, and Netto in the Paris region.  </w:t>
        <w:br/>
        <w:t xml:space="preserve">3. The ITM Entreprises group achieved during the last fiscal year ending on December 31, 2008, a total turnover excluding taxes of [20-30] billion euros, of which [15-25] billion in France.  </w:t>
        <w:br/>
        <w:t xml:space="preserve">4. The company Menaphi SAS (hereinafter "Menaphi") is a French law company whose exclusive purpose is the operation of a food-dominant retail outlet located in Evreux (27), under the Intermarché brand. The shares of the company Menaphi are held [majority] by the company Mareja SARL, itself controlled by the X family. The remainder of the capital is held by ITM Entreprises, with a preferred share that grants it, for a period of 15 years, the ability to block any change of brand, oppose any transfer of shares, and compel the majority shareholders to sell the business as soon as they operate a similar business under a competing brand.  </w:t>
        <w:br/>
        <w:t xml:space="preserve">5. Mr. and Mrs. X are signatories of the membership charter of the Groupement des Mousquetaires, and the company Menaphi entered into a brand contract with ITM Entreprises on April 24, 2006, by which the use of the Intermarché brand is granted for the operation of its business. This brand contract grants ITM Entreprises, for a duration of 15 years, a right of preference in the event of the sale of the business at a price calculated according to a predetermined formula. Finally, after 15 years, ITM Entreprises retains a right of preference on any sale of shares for an additional 5 years.  </w:t>
        <w:br/>
        <w:t xml:space="preserve">6. It follows from the above that prior to the operation, ITM Entreprises already jointly exercises control of the company Menaphi with Mr. and Mrs. X. The total consolidated worldwide turnover excluding taxes achieved by the company Menaphi in 2008, the last closed fiscal year, amounts to 17 million euros exclusively in France.  </w:t>
        <w:br/>
        <w:t xml:space="preserve">7. ITM Alimentaire Région Parisienne held, since April 24, 2006, a purchase option on all the shares of the company Menaphi and exercised this option on August 8, 2009. As it results in the transition from joint control to exclusive control of the company Menaphi by the ITM Entreprises group, the notified operation constitutes a concentration within the meaning of Article L. 430-1 of the Commercial Code. Given the turnover of the companies concerned, it does not have a community dimension.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 xml:space="preserve">II. Delimitation of relevant markets  </w:t>
        <w:br/>
        <w:t xml:space="preserve">8. According to the constant practice of national and community competition authorities, two categories of markets can be delineated in the retail sector:  </w:t>
        <w:br/>
        <w:t xml:space="preserve">1 See in particular the decisions of the Commission M.946 Intermarché/Spar of June 30, 1997, M.991 Promodès/Casino of October 30, 1997, and M.1684 Carrefour/Promodès of January 25, 2000. See also the ministerial decree of July 5, 2000 in the Carrefour/Promodès operation and the opinions of the Competition Council No. 97-A-14 of July 1, 1997, in the Carrefour/Cora case, No. 98-A-06 of May 5, 1998, in the Casino Franprix/Leader Price case, and No. 00-A-06 of May 3, 2000, in the Carrefour/Promodès case.  </w:t>
        <w:br/>
        <w:t xml:space="preserve">2 food sector. On the one hand, there are the "downstream" markets, of local dimension, which involve retail businesses and consumers for the sale of consumer goods, and on the other hand, the "upstream" markets for the supply of retail businesses with everyday consumer goods, of national dimension.  </w:t>
        <w:br/>
        <w:t xml:space="preserve">A. DOWNSTREAM DISTRIBUTION MARKETS  </w:t>
        <w:br/>
        <w:t xml:space="preserve">1. SERVICE MARKETS  </w:t>
        <w:br/>
        <w:t xml:space="preserve">9. Regarding the retail sale of everyday consumer goods, competition authorities, both at the community and national levels, have distinguished six categories of commerce using several criteria, notably the size of the stores, their sales techniques, their accessibility, the nature of the service provided, and the range of products offered: (i) hypermarkets, (ii) supermarkets, (iii) specialized trade, (iv) small retail trade, (v) maxi-discounters, (vi) mail order.  </w:t>
        <w:br/>
        <w:t xml:space="preserve">10. Hypermarkets are usually defined as food-dominant stores with a sales area equal to or greater than 2,500 m². It should be noted that this threshold should be used with caution and may be adapted to the specific case, considering that stores whose area is close to the threshold, whether below or above, may be in direct competition in practice.  </w:t>
        <w:br/>
        <w:t xml:space="preserve">11. In this case, the store in Evreux occupies a sales area of 2,727 m², and therefore falls into the category of hypermarkets.  </w:t>
        <w:br/>
        <w:t xml:space="preserve">2. GEOGRAPHICAL DELIMITATION  </w:t>
        <w:br/>
        <w:t xml:space="preserve">12. In its recent decisions regarding operations concerning hypermarkets or supermarkets, the Competition Authority has recalled that two types of markets are usually distinguished, based on catchment areas:  </w:t>
        <w:br/>
        <w:t xml:space="preserve">- a first market where the demand from consumers in an area meets the supply of hypermarkets that they can access within 30 minutes of driving and which are, from their point of view, substitutable for each other;  </w:t>
        <w:br/>
        <w:t xml:space="preserve">- a second market where the demand from consumers meets the supply of supermarkets and equivalent forms of trade, located within 15 minutes of driving time. These latter forms of trade may include, in addition to supermarkets, hypermarkets located near consumers and discount stores.  </w:t>
        <w:br/>
        <w:t xml:space="preserve">2 Decisions of the Commission in the cases M.1221 Rewe/Meinl of February 3, 1999, M.1684 Carrefour/Promodès of January 25, 2000, and M.2115 Carrefour/GB of September 28, 2000. See also the decision C.2005-98 Carrefour/Penny Market of November 10, 2005.  </w:t>
        <w:br/>
        <w:t xml:space="preserve">3 Decisions C.2008-32 Amidis SAGC of July 9, 2008, C.2007-172 Carrefour Plane Plamidis, of February 13, 2008, C.2007-154 Système U Vergali of December 3, 2007, C.2007-05 Carrefour Sofodis of March 26, 2007, C.2006-15 Amidis Hamon of April 14, 2006, C 2005-98 Carrefour Penny Market of November 10, 2005.  </w:t>
        <w:br/>
        <w:t xml:space="preserve">4 See in particular the decisions 09-DCC-04 of April 29, 2009, and the opinion No. 00-A-06 of the Council of May 3, 2000 regarding the acquisition by the company Carrefour of the company Promodès.  </w:t>
        <w:br/>
        <w:t>5 Decisions 09-DCC-24 of July 23, 2009 Floritine/C.S.F; 09-DCC- of May 28, 2009 Frandis/Financière Perdis; 09-DCC-06 of May 20, 2009 Evolis/ITM; 09-DCC-04 of April 29, 2009 Carrefour/Noukat,</w:t>
      </w:r>
    </w:p>
    <w:p>
      <w:r>
        <w:rPr>
          <w:b/>
        </w:rPr>
        <w:t>[Pages 4–5]</w:t>
      </w:r>
    </w:p>
    <w:p>
      <w:r>
        <w:t xml:space="preserve">13. Other criteria may nevertheless be taken into account to assess the impact of a concentration on the competitive situation in retail distribution markets, which may lead to refining, in the specific case, the usual delineations presented above.  </w:t>
        <w:br/>
        <w:t xml:space="preserve">14. In the specific case, the store concerned by the operation occupies a sales area of 2,727 m², close to the threshold of 2,500 m² distinguishing it from a supermarket. The competitive analysis will therefore focus on the two markets, one including all supermarkets and maxi-discounters located within a 15-minute catchment area around Evreux and the other including hypermarkets located within a 30-minute radius.  </w:t>
        <w:br/>
        <w:t xml:space="preserve">B. UPSTREAM SUPPLY MARKETS  </w:t>
        <w:br/>
        <w:t xml:space="preserve">15. Regarding the supply markets, the European Commission has recognized the existence of national dimension markets by major product groups, a delineation followed by national authorities.  </w:t>
        <w:br/>
        <w:t xml:space="preserve">16. There is no need to challenge this delineation in the context of the present operation.  </w:t>
        <w:br/>
        <w:t xml:space="preserve">III. Competitive Analysis  </w:t>
        <w:br/>
        <w:t xml:space="preserve">A. DOWNSTREAM FOOD DISTRIBUTION MARKET  </w:t>
        <w:br/>
        <w:t xml:space="preserve">17. In the downstream food distribution market, including hypermarkets located within a 30-minute drive around Evreux, three retail outlets operate under the Intermarché brand. They account for 19% of the sales area in this market. They will face dense competition from four Leclerc hypermarkets (29% of cumulative market shares), three hypermarkets under the Carrefour group brands (26% of cumulative market shares), one Cora hypermarket (15% market share), and one Auchan group hypermarket (10% market share).  </w:t>
        <w:br/>
        <w:t xml:space="preserve">18. Given its size, the target store is close to the supermarket category, and the competitive situation in a 15-minute drive catchment area around Evreux, including hypermarkets, supermarkets, and maxi-discounters, has also been examined. In this area, the three Intermarché stores account for 24% of the sales area. These stores will face competition from sales areas of the Carrefour group (33% of cumulative market shares) and three hypermarkets under the Cora (22% market share), Leclerc (9% market share), Super U (5% market share) brands, and other smaller competitors.  </w:t>
        <w:br/>
        <w:t xml:space="preserve">19. Consequently, the notified operation is not likely to harm competition in a market.  </w:t>
        <w:br/>
        <w:t xml:space="preserve">B. UPSTREAM SUPPLY MARKET  </w:t>
        <w:br/>
        <w:t xml:space="preserve">20. Regarding the upstream supply markets, the operation, which concerns only one store, is not likely to significantly strengthen the purchasing power of the ITM Entreprises group, across all products as well as by major product groups. The strengthening is all the more minor since, prior to the operation, the target company was already sourcing [majority] through subsidiaries of ITM Entreprises.  </w:t>
        <w:br/>
        <w:t xml:space="preserve">DECIDES  </w:t>
        <w:br/>
        <w:t xml:space="preserve">Single Article: The operation notified under number 09-0141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