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https://www.autoritedelaconcurrence.fr/fr/decision-de-controle-des-concentrations/relative-la-prise-de-controle-exclusif-de-la-societe-60</w:t>
      </w:r>
    </w:p>
    <w:p>
      <w:r>
        <w:t>Pages translated : 15</w:t>
      </w:r>
    </w:p>
    <w:p/>
    <w:p>
      <w:r>
        <w:rPr>
          <w:b/>
        </w:rPr>
        <w:t>[Pages 1–3]</w:t>
      </w:r>
    </w:p>
    <w:p>
      <w:r>
        <w:t>FRENCH REPUBLIC</w:t>
        <w:br/>
        <w:t>Decision No. 12-DCC-48 of April 6, 2012</w:t>
        <w:br/>
        <w:t>regarding the exclusive control of the company Sofides</w:t>
        <w:br/>
        <w:t>by the company ITM Entreprises</w:t>
        <w:br/>
        <w:t>The Competition Authority,</w:t>
        <w:br/>
        <w:t>Having regard to the notification file submitted in full to the merger service on February 10, 2012,</w:t>
        <w:br/>
        <w:t>regarding the exclusive control of the company Sofides by the company ITM Entreprises,</w:t>
        <w:br/>
        <w:t>formalized by a protocol agreement concluded between the cooperative company Eroski and the company</w:t>
        <w:br/>
        <w:t>ITM Entreprises on October 6, 2011;</w:t>
        <w:br/>
        <w:t>Having regard to Book IV of the Commercial Code relating to the freedom of prices and competition, and</w:t>
        <w:br/>
        <w:t>notably its Articles L. 430-1 to L. 430-7;</w:t>
        <w:br/>
        <w:t>Having regard to the commitments presented on March 14, 2012, last modified on April 4, 2012 by the</w:t>
        <w:br/>
        <w:t>notifying party;</w:t>
        <w:br/>
        <w:t>Having regard to the additional elements transmitted by the parties during the investigation;</w:t>
        <w:br/>
        <w:t>Adopts the following decision:</w:t>
        <w:br/>
        <w:t>I. The concerned companies and the operation</w:t>
        <w:br/>
        <w:t>1. The company ITM Entreprises, 100% controlled by the Société civile des Mousquetaires, itself held by more than 1,400 individuals known as "associated members," leads and animates the network of independent merchants known as the "Groupement des Mousquetaires." As a franchisor, ITM Entreprises' main activity is the management of a network of retail businesses predominantly focused on food and non-food, operated by independent merchants under the brands Intermarché, Ecomarché, Netto, Bricomarché, and Roady, and also manages two restaurant networks operated under the brands Restaumarché and Poivre Rouge. This management is carried out notably through the signing and monitoring of brand contracts with the companies operating these businesses. ITM Entreprises provides its franchisees with various services, including prospecting, consulting, and training. ITM Entreprises also offers franchisees the opportunity to benefit from advantageous supply conditions from its national and regional subsidiaries as well as from external suppliers referenced outside the "Groupement des Mousquetaires" (hereinafter "ITM").</w:t>
        <w:br/>
        <w:t>2. The company Sofides is a holding company, controlled by the company Cecosa Institucional, which is itself controlled by the Spanish cooperative company Eroski. The company Sofides does not engage in any economic activity of its own. It holds half of the capital of the companies Altis, Hypermarchés des Deux Mers (hereinafter "H2M"), Société des Supermarchés du Bassin (hereinafter "SSB"), and Distrimag, over which it holds joint control with the Carrefour group. Prior to the completion of this operation, Sofides will acquire exclusive control of Altis, H2M, SSB, and Distrimag1 (hereinafter "the target companies"). Altis operates seventeen retail stores predominantly focused on food2, which it owns, under the brands Carrefour, Carrefour Market, Champion, or ED. Altis also operates under management and under the Carrefour brand the retail stores predominantly focused on food that belong to Distrimag in Pamiers, to H2M in Agen, and to SSB in La Teste de Buch. ITM Entreprises acquires, due to this operation, 20 points of sale, including nine hypermarkets. The notified operation, formalized by a protocol agreement concluded between Eroski, Cecosa Institucional, Sofides, and ITM Entreprises on October 6, 2011, consists of the acquisition by ITM Entreprises of the entirety of the capital of the company Sofides. As it results in the acquisition of exclusive control of Sofides by ITM Entreprises, the notified operation is indeed a concentration within the meaning of Article L. 430-1 of the Commercial Code.</w:t>
        <w:br/>
        <w:t>3. The concerned companies together achieve a total worldwide turnover of more than 150 million euros (ITM3: […] billion euros for the 2010 fiscal year; the target companies: […] million euros for the same fiscal year). At least two of these companies achieve a turnover in France exceeding 50 million euros (ITM: […] billion euros for the fiscal year ending in 2010; the target companies: […] million euros for the same fiscal year). Given these turnover figures and the fact that ITM Entreprises, on the one hand, and the target companies, on the other hand, achieve more than two-thirds of their respective turnover in France, the operation does not have a community dimension. However, the control thresholds mentioned in II of Article L. 430-2 of the Commercial Code are exceeded. This operation is therefore subject to the provisions of Articles L. 430-3 and following of the Commercial Code relating to economic concentration.</w:t>
        <w:br/>
        <w:t>1 In accordance with the provisions of the shareholders' agreements concluded regarding the companies Altis, H2M, SSB, and Distrimag between Eroski and Continent Hypermarchés on March 8, 1993, and in accordance with the amendment to said agreements concluded between Eroski and companies of the Carrefour group (hereinafter "Carrefour") on February 15, 2002, by a letter dated October 6, 2011, the company Sofides implemented the "alternative share transfer" procedure provided for in these contractual documents. Under this procedure, Carrefour consented in a letter dated December 8, 2011, to transfer to Sofides its interests in the capital of the companies Altis, H2M, SSB, and Distrimag. Sofides paid Carrefour on January 20, 2012, the amount corresponding to the buyback price of all the shares it holds in the capital of the four target companies. These shares were placed under escrow pursuant to an escrow agreement signed between Carrefour and Sofides on January 20, 2012. Their transfer will occur upon the expiration of a period of fifteen days following the date of authorization by the Competition Authority of the exclusive control of Sofides by ITM Entreprises. In accordance with paragraphs 64 and following of the guidelines of the Competition Authority as well as paragraphs 28 and following of the consolidated communication on the competence of the Commission, the acquisition by Sofides of the Carrefour group's interests in the capital of the companies Altis, H2M, SSB, and Distrimag does not constitute a concentration operation within the meaning of the provisions of Articles L. 430-1 and L. 430-2 of the Commercial Code, as it is a transitional operation that does not result in a lasting change in the control of the companies Altis, H2M, SSB, and Distrimag. Eroski indeed concluded with ITM Entreprises on October 6, 2011, a protocol agreement providing, irrevocably and within a limited timeframe, for the transfer of Sofides to ITM Entreprises.</w:t>
        <w:br/>
        <w:t>2 These stores are located in Argelès-sur-mer, Cers, Creysse, Elne, Hendaye, Llupia, Moissac, Pamiers, Saint-Estève, Saint Laurent de la Salanque, Savignac-les-Ormeaux, Bourdettes, Céret, Fleurance, Mauléon, and Vic-Fézensac. Altis operated at the beginning of 2012 a store in Biarritz, which was sold to the company ED SAS on January 27, 2012.</w:t>
        <w:br/>
        <w:t>3 The ITM Entreprises group includes the company ITM Entreprises as well as the companies it controls directly or indirectly through subsidiaries.</w:t>
      </w:r>
    </w:p>
    <w:p>
      <w:r>
        <w:t>II. Delimitation of Relevant Markets</w:t>
        <w:br/>
        <w:t>4. According to the consistent practice of national and community competition authorities, two categories of markets can be delineated in the predominantly food distribution sector. These are, on the one hand, the "downstream" markets, of local dimension, which bring together retail businesses and consumers for the sale of consumer goods and, on the other hand, the "upstream" markets for the supply of retail businesses with everyday consumer goods, of national dimension.</w:t>
        <w:br/>
        <w:t>A. DOWNSTREAM DISTRIBUTION MARKETS</w:t>
        <w:br/>
        <w:t>1. SERVICE MARKETS</w:t>
        <w:br/>
        <w:t>5. Regarding the retail sale of everyday consumer goods, competition authorities, both community and national, have distinguished six categories of trade using several criteria, notably the size of the stores, their sales techniques, their accessibility, the nature of the service provided, and the range of products offered: (i) hypermarkets, (ii) supermarkets, (iii) specialized trade, (iv) small retail trade, (v) maxi discounters, (vi) mail order sales.</w:t>
        <w:br/>
        <w:t>6. Supermarkets are usually defined as stores predominantly focused on food with a legal sales area of less than 2,500 m², and hypermarkets as stores with a legal sales area of more than 2,500 m². In this case, the stores concerned by the operation currently occupy sales areas ranging from 966 m² to 6,700 m², with nine of the stores falling into the hypermarket category and eleven into the supermarket category.</w:t>
        <w:br/>
        <w:t>7. However, while the overall service provided by hypermarkets (product diversity, depth of ranges, accessibility, low prices) is specific and not provided by any other form of trade, the size criterion that determines, between supermarkets and hypermarkets, the extent of the assortment of ranges must be used in each case with caution, as stores whose area is close to the threshold that serves to distinguish them (2,500 m²), whether below or above, may in fact be in direct competition. Therefore, the conditions under which the market actually operates are taken into account, notably the fact that, in a number of geographical configurations, a hypermarket may be habitually used by some consumers as a proximity store, substituting for a supermarket. Conversely, the reverse is almost never verified and is even less so as the size of the hypermarket in question is significant.</w:t>
        <w:br/>
        <w:t>8. Consequently, the analysis is carried out, on the one hand, on a market comprising only hypermarkets and, on the other hand, on a market including all formats (hypermarkets, supermarkets, hard-discounters), excluding convenience stores (less than 400 m²).</w:t>
      </w:r>
    </w:p>
    <w:p>
      <w:r>
        <w:rPr>
          <w:b/>
        </w:rPr>
        <w:t>[Pages 4–6]</w:t>
      </w:r>
    </w:p>
    <w:p>
      <w:r>
        <w:t>2. GEOGRAPHICAL DELIMITATION</w:t>
        <w:br/>
        <w:t>9. It follows from the decision-making practice that the conditions of competition are assessed in two different areas depending on the size of the stores:</w:t>
        <w:br/>
        <w:t>- a market where the demand from consumers meets the supply of supermarkets and equivalent forms of commerce located within a 15-minute drive. These latter forms of commerce may include, in addition to supermarkets, hypermarkets located close to consumers and discount stores;</w:t>
        <w:br/>
        <w:t>- a second market where the demand from consumers in an area meets the supply of hypermarkets that they can access within a 30-minute drive and which are, from their perspective, substitutable for one another.</w:t>
        <w:br/>
        <w:t>10. However, the attractiveness of stores of the same format may vary depending on the density and quality of the commercial equipment in an area. The socio-economic characteristics of the area concerned (population density, economic activity, geography, state of the road network) may also lead to a refinement, in the specific case, of the usual delimitations presented above.</w:t>
        <w:br/>
        <w:t>11. In this case, the exact delimitation of certain catchment areas affected by the operation has been verified to the extent that stores are present on the periphery of these areas, at a distance slightly greater or slightly less than the 15 or 30-minute drive distances mentioned above. The parties have provided measurements conducted by a marketing agency based on data regarding commercial equipment and actual consumer consumption in the areas concerned. These measurements aim to assess, for a given store, the competitive pressure exerted on its turnover by the surrounding stores. They particularly allow for a refinement in considering the variables "size of stores" and "distance from the target store" and suggest that the 15 and 30-minute distances retained by decision-making practice are maxima, with stores located on the edge of the area generally exerting low or even no competitive pressure on the target store. These will be discussed in the analysis of local areas below.</w:t>
        <w:br/>
        <w:t>B. UPSTREAM SUPPLY MARKETS</w:t>
        <w:br/>
        <w:t>12. Regarding supply markets, the European Commission has recognized the existence of markets of national dimension by major product groups, a delimitation followed by national authorities.</w:t>
        <w:br/>
        <w:t>13. There is no need to challenge this delimitation in the context of the present operation.</w:t>
      </w:r>
    </w:p>
    <w:p>
      <w:r>
        <w:t>III. Competitive Analysis</w:t>
        <w:br/>
        <w:t>A. UPSTREAM SUPPLY MARKETS</w:t>
        <w:br/>
        <w:t>14. Regarding the upstream supply markets, the purchases of all members of the Intermarché group represented approximately […] billion euros in 2010, or [10-20]% of the overall supply market. The share of purchases by the Intermarché group is below 20% regardless of the product category considered. It should be noted that the total amount of purchases made by the 20 stores concerned by the operation is less than […] million euros, or [0-5]% of the total purchases made in France in the upstream supply market. The share of cumulative purchases from these 20 target stores in each of the markets defined by product category according to decision-making practice is below 1%. The operation is therefore not likely to strengthen the purchasing power of the Intermarché group in the upstream supply markets, regardless of the market segmentation retained.</w:t>
        <w:br/>
        <w:t>15. Consequently, the operation is not likely to harm competition in the upstream supply markets.</w:t>
        <w:br/>
        <w:t>B. DOWNSTREAM RETAIL DISTRIBUTION MARKETS PREDOMINANTLY FOOD</w:t>
        <w:br/>
        <w:t>16. As for the eleven supermarkets, the one located in Creysse (46) is closed, and the notifying party states in the notification that it will keep it closed and will not operate it as a predominantly food sales point. In any case, it is located in immediate proximity to a hypermarket of the target located in the same city. Similarly, the one in Thuir (66) is located in immediate proximity to the hypermarket in Llupia and is therefore in the same catchment area. Furthermore, no store under the ITM brand is located in the catchment areas of the target supermarkets located in Hendaye and Savignac-les-Ormeaux.</w:t>
        <w:br/>
        <w:t>17. Consequently, sixteen catchment areas are concerned by the examination under the concentration control:</w:t>
        <w:br/>
        <w:t>Surface in m² Sign</w:t>
        <w:br/>
        <w:t>1 Cers […] ED</w:t>
        <w:br/>
        <w:t>2 Bourdettes […] ED</w:t>
        <w:br/>
        <w:t>3 Mauléon […] Carrefour Market</w:t>
        <w:br/>
        <w:t>4 Vic-Fézensac […] Champion</w:t>
        <w:br/>
        <w:t>5 Céret […] Carrefour Market</w:t>
        <w:br/>
        <w:t>6 Elne […] Carrefour Market</w:t>
        <w:br/>
        <w:t>7 Saint Estève […] Champion</w:t>
        <w:br/>
        <w:t>8 Llupia […]/[…] Champion</w:t>
        <w:br/>
        <w:t>9 Saint Laurent de la Salanque […] Carrefour Market</w:t>
        <w:br/>
        <w:t>10 Fleurance […] Carrefour Market</w:t>
        <w:br/>
        <w:t>11 Agen […] Carrefour</w:t>
        <w:br/>
        <w:t>12 Moissac […] Carrefour</w:t>
        <w:br/>
        <w:t>13 Argelès-sur-mer […] Carrefour</w:t>
        <w:br/>
        <w:t>14 Pamiers […] Carrefour</w:t>
        <w:br/>
        <w:t>15 La Teste de Buch […] Carrefour</w:t>
        <w:br/>
        <w:t>16 Creysse […] Carrefour</w:t>
        <w:br/>
        <w:t>18. In the 15-minute catchment areas defined around the supermarkets of Cers, Saint Estève, and Elne, the combined market share of the parties remains below [30-40]%, the new entity will not be the leader and will continue to face competition from numerous brands, notably exercised by the Carrefour, Auchan, Leclerc, Système U, and Casino groups.</w:t>
        <w:br/>
        <w:t>19. In the catchment areas defined around the hypermarkets of La Teste de Buch and Saint Laurent de la Salanque, the combined market share of the parties is below [30-40]% whether in a 15-minute area including hypermarkets, supermarkets, and hard-discounters or in a 30-minute area including only hypermarkets, knowing that ITM has no hypermarket in the 30-minute area around La Teste de Buch. Moreover, at least two competing brands will hold more than [20-30]% market share. In total, there will remain at least five groups of brands that will compete with the parties in the 15-minute area and at least three brands operating competing hypermarkets in the 30-minute area around these two stores.</w:t>
        <w:br/>
        <w:t>20. The competitive analysis of the other areas is detailed below. As a preliminary point, two common competitive characteristics across all these areas will be discussed: the operation of certain stores under the ITM brand present in these areas by independent companies not controlled by ITM group companies; the existence of strong barriers to entry in these markets.</w:t>
        <w:br/>
        <w:t>1. INTRA-BRAND COMPETITION BETWEEN STORES UNDER THE ITM BRAND OPERATED BY INDEPENDENT COMPANIES AND STORES JOINTLY OR EXCLUSIVELY CONTROLLED BY THE ITM GROUP.</w:t>
        <w:br/>
        <w:t>21. In this case, in addition to the stores operated by companies exclusively or jointly controlled by ITM Entreprises or one of its controlled subsidiaries, Intermarché-branded stores are operated by companies exclusively controlled by individuals. The parties consider that there is intra-brand competition between these two types of stores and that independents should not be taken into account for the assessment of ITM's market power.</w:t>
      </w:r>
    </w:p>
    <w:p>
      <w:r>
        <w:rPr>
          <w:b/>
        </w:rPr>
        <w:t>[Pages 7–9]</w:t>
      </w:r>
    </w:p>
    <w:p>
      <w:r>
        <w:t>22. However, the decisional practice has repeatedly reminded that the market power of a distribution group must be assessed taking into account both owned stores and independent stores, regardless of their legal status or the identity of the persons who control them, as long as their commercial policy is not sufficiently autonomous from the network head and the corresponding group.</w:t>
      </w:r>
    </w:p>
    <w:p>
      <w:r>
        <w:t>23. The Council of State validated this analysis in a decision dated December 23, 2010, Mr. Bricolage: "Considering, firstly, that by noting that the assessment of the market power of a distribution group, for the purpose of analyzing the competitive effects of a concentration operation carried out between two distribution networks, which is distinct from the assessment of the existence of a determining influence, for the purpose of identifying a concentration operation, requires taking into account all the member stores of the networks, as long as their commercial policy is not sufficiently autonomous, the Competition Authority, which has also complied with a consistent practice of competition authorities, did not commit a legal error."</w:t>
      </w:r>
    </w:p>
    <w:p>
      <w:r>
        <w:t>24. In this case, the franchise contracts communicated by the notifying party are for a duration of […] years, renewable by tacit agreement, and notably provide for (i) a preferential supply obligation for franchisees from purchasing centers controlled by ITM Entreprises or from suppliers referenced by ITM Entreprises or its subsidiaries, and the prohibition of joining another purchasing center, (ii) a commitment to respect the product range developed by ITM Entreprises, as well as its pricing policy, notably by committing to respect maximum resale prices, (iii) a commitment to attend all meetings and all working sessions organized by ITM Entreprises or its subsidiaries, during which information, instructions, guidelines, and the commercial policy defined by the latter are communicated to the franchisees, (iv) a commitment to prioritize the services offered by ITM Entreprises or its subsidiaries, except in cases of particularly heavy constraints imposed by the latter; (v) a right of preference in favor of ITM Entreprises in the event of the transfer of shares in the capital of its company. Furthermore, the manager of the company operating the store under the Intermarché brand, as well as their spouse, have entered into a membership contract with ITM Entreprises, the duration of which aligns with that of the aforementioned franchise contract, which also provides for a right of preference granted to ITM Entreprises in the event of the transfer of shares of the company operating the franchised store.</w:t>
      </w:r>
    </w:p>
    <w:p>
      <w:r>
        <w:t>25. In light of these elements, the stores operated under the Intermarché brand by companies not controlled by ITM Entreprises or one of its subsidiaries are not autonomous from the latter and must therefore be taken into account to assess the market power of ITM.</w:t>
      </w:r>
    </w:p>
    <w:p>
      <w:r>
        <w:t>2. THE IMPORTANCE OF ENTRY BARRIERS IN THE RELEVANT MARKETS</w:t>
      </w:r>
    </w:p>
    <w:p>
      <w:r>
        <w:t>26. The decisional and advisory practice of the Competition Authority has recalled the existence of significant entry barriers in the retail sector for predominantly food commerce, relating to i) the regulations surrounding the exercise of food commerce activities, ii) the difficulties in acquiring commercial land, iii) the impermeability of different distribution networks, and iv) other more residual factors such as brand recognition and logistical costs in particular.</w:t>
      </w:r>
    </w:p>
    <w:p>
      <w:r>
        <w:t>27. The law on the modernization of the economy n°2008-776 of August 4, 2008, has relaxed the prior authorization regime concerning commercial equipment. However, the authorizations for establishment or extension, as well as building permits, are subject to numerous appeals that significantly increase the cost, duration, and uncertainty associated with a process of establishing or extending stores.</w:t>
      </w:r>
    </w:p>
    <w:p>
      <w:r>
        <w:t>28. Commercial land intended for retail remains relatively rare in light of the criteria that determine its attractiveness: its area (the area of land necessary for the establishment of a store on the outskirts of an urban area is generally four to six times larger than the sales area), its location (a store must be located near the main living and population areas and be accessible to be attractive and therefore profitable) and its layout. The importance of these criteria tends to increase the duration of the search for commercial land.</w:t>
      </w:r>
    </w:p>
    <w:p>
      <w:r>
        <w:t>29. Due to these two types of entry barriers, the establishment duration of a hypermarket from the beginning of the search for commercial land to the opening of the store would be seven to ten years, compared to five years in the case of a supermarket.</w:t>
      </w:r>
    </w:p>
    <w:p>
      <w:r>
        <w:t>30. Furthermore, the existence, in the contracts signed between the heads of networks and their affiliated stores, of non-competition clauses prohibiting the signing companies from engaging in food commerce activities in any store other than the store subject to the contract, or from affiliating with a competing company, also constitutes an entry barrier. The same applies to statutory provisions allowing the heads of networks to prevent any change of brand of the concerned stores as long as they hold even a single share in the capital of the operating companies.</w:t>
      </w:r>
    </w:p>
    <w:p>
      <w:r>
        <w:t>31. It follows from these elements that the entry barriers in the markets for predominantly food retail remain significant and are likely to make it difficult not only for an actor not present in a local area to enter, even if it is a significant actor present in other geographic markets, but also for the expansion of actors already present in the area.</w:t>
      </w:r>
    </w:p>
    <w:p>
      <w:r>
        <w:t>3. THE CATCHMENT AREAS OF SUPERMARKETS</w:t>
      </w:r>
    </w:p>
    <w:p>
      <w:r>
        <w:t>Bourdettes (64)</w:t>
      </w:r>
    </w:p>
    <w:p>
      <w:r>
        <w:t>32. In the market comprising supermarkets and equivalent forms of commerce located within a 15-minute drive from the Bourdettes supermarket, the ITM brand would gather after the operation the target store under the ED brand (1,157 m²), the Intermarché Super of Bordes (1,248 m²), the Netto (650 m²), and the Intermarché (2,200 m²) of Coarraze.</w:t>
      </w:r>
    </w:p>
    <w:p>
      <w:r>
        <w:t>33. ITM will face competition in this area from two Super U stores of 2,600 m² and 2,490 m² and a Lidl store of 985 m², which represents [5-10]% of the sales areas. ITM's market share in this area would be on this basis [40-50]%, compared to [40-50]% for Système U and [5-10]% for Lidl.</w:t>
      </w:r>
    </w:p>
    <w:p>
      <w:r>
        <w:t>34. Bourdettes being close to the Pau urban area, the notifying party provided the results of measurements conducted by a marketing agency regarding the competitive pressure exerted on the concerned ED store by surrounding stores. These data show that other stores located on the outskirts of the area exert significant competitive pressure on the target store. These include a Super U (2,053 m²) and a Shopi (570 m²) located in Gan, a Carrefour Market (1,960 m²) located in Arudy, a Leader Price (798 m²) located in Ousse, and a Leclerc (4,100 m²) located in Mazères Lézons. If we take into account the sales areas of these different stores, the parties hold a market share of [20-30]%, with Super U, Leclerc, and Carrefour holding [30-40]%, [20-30]%, and [10-20]% of market shares respectively.</w:t>
      </w:r>
    </w:p>
    <w:p>
      <w:r>
        <w:t>35. It follows from these elements that the operation is not likely to harm competition in the Bourdettes area.</w:t>
      </w:r>
    </w:p>
    <w:p>
      <w:r>
        <w:t>Céret (66)</w:t>
      </w:r>
    </w:p>
    <w:p>
      <w:r>
        <w:t>36. In the market comprising supermarkets and equivalent forms of commerce located within a 15-minute drive from the Céret supermarket, the store operated by the target (1,750 m²) represents [10-20]% of the sales areas, while the Intermarché of Céret (2,277 m²), the Intermarché (2,097 m²), and the Netto (829 m²) of Le Boulou represent [40-50]% of the sales areas. The parties thus hold a combined market share of [50-60]%.</w:t>
      </w:r>
    </w:p>
    <w:p>
      <w:r>
        <w:t>37. They face competition from a Leclerc hypermarket (3,030 m² - [20-30]% market share), a Leader Price (1,000 m² – [5-10]%), and a Lidl (773 m² - [5-10]%). No other store located on the outskirts of the area is likely to exert significant competitive pressure on the target store. Therefore, the operation significantly strengthens the market power of Intermarché.</w:t>
      </w:r>
    </w:p>
    <w:p>
      <w:r>
        <w:t>38. To alleviate serious doubts regarding the effects of the operation on competition, the parties proposed to divest the target supermarket located in Céret. This commitment eliminates any overlap between the parties. Consequently, subject to the proposed commitments, the operation is not likely to harm competition in the Céret area.</w:t>
      </w:r>
    </w:p>
    <w:p>
      <w:r>
        <w:t>Mauléon (64)</w:t>
      </w:r>
    </w:p>
    <w:p>
      <w:r>
        <w:t>39. In the market comprising supermarkets and equivalent forms of commerce located within a 15-minute drive from the Mauléon supermarket, the store operated by the target (1,700 m²) represents [30-40]% of the sales areas in the zone, while the Intermarché of Mauléon (2,200 m²) represents [40-50]% of the sales areas. The parties thus hold a combined market share of [80-90]%.</w:t>
      </w:r>
    </w:p>
    <w:p>
      <w:r>
        <w:t>40. They face competition only from a Lidl store (843 m² - [10-20]%). No other store is located on the outskirts of the area. Therefore, the operation strengthens the market power of Intermarché and significantly reduces competition in the area.</w:t>
      </w:r>
    </w:p>
    <w:p>
      <w:r>
        <w:t>41. To alleviate serious doubts regarding the effects of the operation on competition, the parties proposed to divest the target supermarket located in Mauléon. This commitment eliminates any overlap between the parties. Consequently, subject to the proposed commitments, the operation is not likely to harm competition in the Mauléon area.</w:t>
      </w:r>
    </w:p>
    <w:p>
      <w:r>
        <w:rPr>
          <w:b/>
        </w:rPr>
        <w:t>[Pages 10–12]</w:t>
      </w:r>
    </w:p>
    <w:p>
      <w:r>
        <w:t>Vic-Fezensac (32)</w:t>
        <w:br/>
        <w:t>42. In the market comprising supermarkets and equivalent forms of trade located within 15 minutes of the supermarket in Vic-Fezensac, the store operated by the target (1,700 m²) represents [50-60]% of the sales areas in the zone, while the Intermarché in Vic-Fezensac (1,700 m²) also represents [50-60]% of the sales areas. The parties therefore hold a monopoly in this area, and no other competing store is located on the outskirts of the zone.</w:t>
        <w:br/>
        <w:t>43. To address serious doubts regarding the effects of the operation on competition, the parties have proposed to divest the target supermarket located in Vic-Fezensac. This commitment eliminates any overlap between the parties. Consequently, subject to the proposed commitments, the operation is not likely to harm competition in the Vic-Fezensac area.</w:t>
        <w:br/>
        <w:t>4. CATCHMENT AREAS OF HYPERMARKETS</w:t>
        <w:br/>
        <w:t>Agen (47)</w:t>
        <w:br/>
        <w:t>44. In the market comprising supermarkets and equivalent forms of trade located within 15 minutes of the hypermarket in Agen, the store operated by the target (6,700 m²) represents [10-20]% of the sales areas in the zone, while ITM holds a market share of [20-30]% corresponding to two Netto stores (771 m² and 800 m²), one Intermarché Contact (500 m² which is to be expanded to 1,200 m²), one Ecomarché (1,359 m²), and four Intermarché stores (two supermarkets of 1,500 m² and 2,045 m² and two hypermarkets of 2,910 m² and 2,968 m²). The parties therefore hold a combined market share of [40-50]%.</w:t>
        <w:br/>
        <w:t>45. They face competition from the Casino group, which, with five stores (910 m², 990 m², 2,750 m², 2,914 m², and 7,910 m²), holds a market share of [30-40]%, from Leclerc (one store of 5,840 m² - [10-20]% market share), and from six other brands (Lidl, Carrefour, Dia, Grand Frais, and Aldi) which hold market shares of less than [0-5]%.</w:t>
        <w:br/>
        <w:t>46. In the market comprising hypermarkets located within 30 minutes by car from the hypermarket in Agen, the parties hold a combined market share of [30-40]% ([20-30]% for the target hypermarket and [10-20]% for the two Intermarché hypermarkets).</w:t>
        <w:br/>
        <w:t>47. The new entity faces competition from the Casino group, the market leader in the area with three hypermarkets (2,750 m², 2,914 m², and 7,910 m² - [40-50]% market share), ahead of Leclerc ([10-20]% - 5,840 m²). A few other stores are located on the outskirts of the area, but the data provided by the parties regarding the competitive pressures exerted on the target store do not indicate that they should be counted among its competitors.</w:t>
        <w:br/>
        <w:t>48. The operation results in the disappearance of one competitor in the area, reducing the number of hypermarket brands from four to three. However, one of the hypermarkets already held by ITM in this area is relatively far from the target store located in Agen as it is situated in Bon-Encontre. Furthermore, the two hypermarkets already operated under ITM brands have sales areas of less than 3,000 m², while the target store is a large hypermarket (6,700 m²). Two other brands will operate comparable stores (a Géant Casino of 7,910 m² and a Leclerc of 5,840 m²), resulting in three brands in total as was the case before the operation.</w:t>
        <w:br/>
        <w:t>49. It follows from these elements that the operation is not likely to harm competition in the two catchment areas defined around the store in Agen.</w:t>
        <w:br/>
        <w:t>10</w:t>
      </w:r>
    </w:p>
    <w:p>
      <w:r>
        <w:t>Argelès-sur-Mer (66)</w:t>
        <w:br/>
        <w:t>50. In the market comprising supermarkets and equivalent forms of trade located within 15 minutes of the hypermarket in Argelès-sur-Mer, the target stores (5,500 m² and 2,150 m²) represent [20-30]% of the sales areas, while ITM holds a market share of [10-20]% with four supermarkets (1,880 m², 1,709 m², 1,200 m², and 515 m²). The parties therefore hold a combined market share of [30-40]%.</w:t>
        <w:br/>
        <w:t>51. They face competition from eight groups active in the predominantly food distribution sector, notably Casino ([10-20]% market share with two stores of 2,520 m² and 2,080 m²), Carrefour ([10-20]% market share with two stores of 590 m² and 3,225 m²), Lidl ([5-10]% market share), and Auchan ([5-10]% market share).</w:t>
        <w:br/>
        <w:t>52. In the market comprising hypermarkets located within 30 minutes by car from the hypermarket in Argelès-sur-Mer, the stores operated by the target (5,500 m² and 2,500 m²) represent [10-20]% of the sales areas, while the three Intermarché hypermarkets represent a market share of [10-20]% (7,500 m², 3,030 m², and 4,500 m²). The parties therefore hold a combined market share of [20-30]%.</w:t>
        <w:br/>
        <w:t>53. They will face competition from Auchan ([20-30]% market share with one hypermarket of 16,204 m²), Leclerc ([20-30]% market share with three hypermarkets of 7,500 m², 3,030 m², and 4,500 m²), Carrefour ([10-20]% market share with two stores of 9,950 m² and 3,225 m²), and Casino ([5-10]% market share with two stores of 3,415 m² and 2,520 m²).</w:t>
        <w:br/>
        <w:t>54. In light of these elements, the operation is not likely to harm competition in the catchment areas defined around the target store located in Argelès-sur-Mer.</w:t>
        <w:br/>
        <w:t>Llupia (66)</w:t>
        <w:br/>
        <w:t>55. In the market comprising supermarkets and equivalent forms of trade located within 15 minutes of the hypermarket in Llupia, the two target stores (2,500 m² and 1,550 m²) represent [10-20]% of the sales areas, while ITM holds a market share of [30-40]% with six supermarkets (total sales area of 11,505 m²). The parties therefore hold a combined market share of [40-50]%.</w:t>
        <w:br/>
        <w:t>56. They face competition from Auchan, the market leader with a market share of [40-50]% (one hypermarket of 16,470 m²) but also from Dia ([0-5]% - 835 m²), Leader Price ([0-5]% - 820 m²), and Lidl ([0-5]% - 825 m²).</w:t>
        <w:br/>
        <w:t>57. In the market comprising hypermarkets located within 30 minutes by car from the hypermarket in Llupia, the two target stores (2,500 m² and 5,500 m²) represent [10-20]% of the sales areas, while the two Intermarché hypermarkets represent a market share of [5-10]% (2,580 m² and 2,463 m²). The parties therefore hold a combined market share of [10-20]%.</w:t>
        <w:br/>
        <w:t>58. The new entity faces competition from Carrefour ([30-40]% market share with four hypermarkets of 10,460 m², 9,950 m², 3,709 m², and 3,225 m²), Auchan ([20-30]% market share with one hypermarket of 16,470 m²), and Leclerc ([10-20]% market share with three hypermarkets of 7,500 m², 4,500 m², and 3,030 m²).</w:t>
        <w:br/>
        <w:t>59. In light of these elements, the operation is not likely to harm competition in the retail markets predominantly focused on food defined around the store operated by the target in Llupia.</w:t>
        <w:br/>
        <w:t>11</w:t>
      </w:r>
    </w:p>
    <w:p>
      <w:r>
        <w:t>Moissac (82)</w:t>
        <w:br/>
        <w:t>60. In the market comprising supermarkets and equivalent forms of trade located within 15 minutes of the hypermarket in Moissac, the store operated by the target (4,000 m²) represents [20-30]% of the sales areas, while ITM holds a market share of [20-30]% corresponding to three supermarkets (2,000 m², 600 m², and 600 m²). The parties therefore hold a combined market share of [40-50]%.</w:t>
        <w:br/>
        <w:t>61. They face competition from Leclerc ([20-30]% market share with one hypermarket of 3,425 m²), from Casino ([10-20]% market share with one Leader Price of 1,074 m² and one Casino of 1,584 m²), and from Lidl ([5-10]% market share with two stores of 700 m² and 662 m²). A few stores are located on the immediate outskirts of the area, notably four small supermarkets of less than 1,000 m² under the brands Intermarché Contact, Ecomarché, Aldi, and Carrefour Contact. However, the data provided by the parties regarding the competitive pressures exerted on the target store do not indicate that they should be counted among the competitors of the target store.</w:t>
        <w:br/>
        <w:t>62. In the market comprising hypermarkets located within 30 minutes by car from the hypermarket in Moissac, the activities of the parties do not overlap as no Intermarché hypermarket is located in this catchment area.</w:t>
        <w:br/>
        <w:t>63. In light of these elements, the operation is not likely to harm competition in the retail markets predominantly focused on food defined around the store operated by the target in Moissac.</w:t>
        <w:br/>
        <w:t>Pamiers (09)</w:t>
        <w:br/>
        <w:t>64. In the market comprising supermarkets and equivalent forms of trade located within 15 minutes of the hypermarket in Pamiers, the store operated by the target (5,600 m²) represents [20-30]% of the sales areas, while ITM holds a market share of [10-20]% corresponding to one supermarket of 1,990 m². The parties therefore hold a combined market share of [30-40]%.</w:t>
        <w:br/>
        <w:t>65. They face competition from Leclerc ([20-30]% market share with one hypermarket of 4,360 m²), Système U ([10-20]% market share with one hypermarket of 2,500 m²), Lidl ([5-10]% with two stores of 990 m² and 696 m²), and Casino ([5-10]% with two stores of 1,150 m² and 557 m²).</w:t>
        <w:br/>
        <w:t>66. In the market comprising hypermarkets located within 30 minutes by car from the hypermarket in Pamiers, ITM would gather, in addition to the target store under the Carrefour brand, with a surface area of 5,600 m², located in Pamiers, two ITM hypermarkets of 3,096 m² and 2,500 m² located in Saverdun and Foix.</w:t>
        <w:br/>
        <w:t>67. Two Leclerc hypermarkets of 4,360 m² and 4,830 m² are located within 30 minutes of the target store, in Saint Jean du Falga and Foix, as well as a Système U of 2,521 m², located in Mirepoix. On this basis, the notifying party would total [40-50]% of the sales areas in this market.</w:t>
        <w:br/>
        <w:t>68. However, the data regarding the competitive pressure exerted on the target store in Pamiers suggest that the Super U in Mirepoix, located at the edge of the area, exerts only limited competitive pressure. Conversely, they also show that the Intermarché hypermarkets in Saverdun and Foix are not the closest competitors of the target store, which is primarily confronted with competition from the Leclerc in Saint Jean du Falga. Furthermore, a Système U of 2,500 m² is set to open in Verniolle in the coming months.</w:t>
      </w:r>
    </w:p>
    <w:p>
      <w:r>
        <w:rPr>
          <w:b/>
        </w:rPr>
        <w:t>[Pages 13–15]</w:t>
      </w:r>
    </w:p>
    <w:p>
      <w:r>
        <w:t>69. In total, the operation is not likely to harm competition in the retail markets predominantly focused on food defined around the target store operated under the Carrefour brand in Pamiers.</w:t>
      </w:r>
    </w:p>
    <w:p>
      <w:r>
        <w:t>Creysse (24)</w:t>
        <w:br/>
        <w:t>70. In the market comprising supermarkets and equivalent forms of trade located within 15 minutes of the Creysse hypermarket, the store operated by the target (6,000 m²) represents [20-30]% of the sales areas, while ITM holds a market share of [20-30]% corresponding to three stores of 2,644 m², 2,160 m², and 880 m². The parties therefore hold a combined market share of [40-50]%.</w:t>
      </w:r>
    </w:p>
    <w:p>
      <w:r>
        <w:t>71. They face competition from Leclerc, which, with two hypermarkets of 8,550 m² and [5,000 m²], holds a market share of [30-40]%, and, to a more marginal extent, from Lidl ([5-10]% market share with two stores of 580 m² and 974 m²), Casino ([5-10]% market share with two stores of 980 m² and 425 m²), Carrefour ([5-10]%), Grand Frais ([0-5]%), and Le Mutant ([0-5]%). The parties cited the presence of a Système U supermarket (400 m²) in Gardonne and Carrefour stores (592 m² and 2,200 m²) in Sigoules and Prigonrieux in the immediate outskirts of the catchment area. However, in light of the data provided by the parties regarding the competitive pressure exerted on the target store and consumer habits, it appears that none of these three stores exert significant competitive pressure on the target store.</w:t>
      </w:r>
    </w:p>
    <w:p>
      <w:r>
        <w:t>72. In the market comprising hypermarkets located within 30 minutes by car from the Creysse hypermarket, a hypermarket of 2,644 m² under the ITM brand is already operated in Bergerac, in close proximity to Creysse, to which the target store under the Carrefour brand with an area of 6,000 m² would be added.</w:t>
      </w:r>
    </w:p>
    <w:p>
      <w:r>
        <w:t>73. Regarding competition, two Leclerc hypermarkets are also located in Bergerac. On this basis, ITM would hold a market share of [40-50]% behind Leclerc ([50-60]%).</w:t>
      </w:r>
    </w:p>
    <w:p>
      <w:r>
        <w:t>74. However, the notifying party considers that the Système U hypermarket of 2,825 m² located in Saint Médard de Mussidan should be taken into account in the calculation of market share due to its proximity to Creysse, as well as the Leclerc hypermarkets located in Pineuilh (3,300 m²) and Port Saint Foy (2,777 m²), at the edge of the 30-minute zone. However, the data provided regarding the competitive pressure exerted on the target store do not list these three hypermarkets among the competitors of the Carrefour in Bergerac.</w:t>
      </w:r>
    </w:p>
    <w:p>
      <w:r>
        <w:t>75. The operation, which results in the creation of a duopoly in the area, reducing the number of brands operating a hypermarket from three to two, harms the competitive situation in the area.</w:t>
      </w:r>
    </w:p>
    <w:p>
      <w:r>
        <w:t>76. To alleviate serious doubts regarding the effects of the operation on competition, the parties proposed to divest the hypermarket operated under the Intermarché brand in Bergerac. This commitment eliminates any overlap between the parties and will bring the number of brands present in the area back to three. Consequently, subject to the proposed commitments, the operation is not likely to harm competition in the Creysse area.</w:t>
      </w:r>
    </w:p>
    <w:p>
      <w:r>
        <w:t>Fleurance (32)</w:t>
        <w:br/>
        <w:t>77. In the market comprising hypermarkets located within 15 minutes by car from the Fleurance hypermarket, the store operated by the target (3,000 m²) represents [30-40]% of the sales areas, while ITM holds a market share of [30-40]% corresponding to two stores of 999 m² and 2,500 m² located in Saint Clar and Lectoure. The parties therefore hold a combined market share of [60-70]%.</w:t>
      </w:r>
    </w:p>
    <w:p>
      <w:r>
        <w:t>78. Regarding competitors, only two brands are present in the area: Casino ([20-30]% with two supermarkets of 1,278 m² and 960 m²) and Lidl ([5-10]% with a store of 670 m²). Consequently, the operation significantly reduces competition in this market.</w:t>
      </w:r>
    </w:p>
    <w:p>
      <w:r>
        <w:t>79. In the market comprising hypermarkets located within 30 minutes by car from the Fleurance hypermarket, the target store has 3,000 m² and ITM already operates two hypermarkets under the ITM brand in the area of 2,830 m² and 2,500 m² located in Condom and Lectoure.</w:t>
      </w:r>
    </w:p>
    <w:p>
      <w:r>
        <w:t>80. The closest competing hypermarket is the Leclerc in Auch (7,173 m²) at the edge of the 30-minute zone. On this basis, ITM's market share would already rise to [50-60]% compared to [40-50]% for Leclerc.</w:t>
      </w:r>
    </w:p>
    <w:p>
      <w:r>
        <w:t>81. However, the data provided by the parties regarding the competitive pressure exerted on the target store suggest that, on the one hand, the Intermarché in Condom is not among the competitors of the Carrefour in Fleurance, and on the other hand, the Leclerc in Auch exerts only very limited competitive pressure on it. In this market, the operation therefore leads to the creation of a quasi-monopoly and harms competition.</w:t>
      </w:r>
    </w:p>
    <w:p>
      <w:r>
        <w:t>82. To alleviate serious doubts regarding the effects of the operation on competition, the parties proposed to divest the Carrefour hypermarket located in Fleurance. This commitment eliminates any overlap between the parties in the 15-minute and 30-minute zones. Consequently, subject to the proposed commitments, the operation is not likely to harm competition in the Fleurance area.</w:t>
      </w:r>
    </w:p>
    <w:p>
      <w:r>
        <w:t>IV. Proposed Commitments</w:t>
        <w:br/>
        <w:t>83. To alleviate serious doubts regarding the effects of the operation on competition in the downstream retail markets predominantly focused on food in the areas of Céret (66), Mauléon (64), Vic Fezensac (32), Creysse (24), and Fleurance (32), ITM Entreprises submitted a proposal for commitments on March 14, 2012, which was last modified on April 4, 2012. The full text of these commitments, attached as an annex, is an integral part of this decision.</w:t>
      </w:r>
    </w:p>
    <w:p>
      <w:r>
        <w:t>84. The commitments proposed by the notifying party consist of the divestiture to one or more viable and independent purchasers:</w:t>
        <w:br/>
        <w:t>– the store under the Carrefour Market brand of 1,700 m² located in Mauléon (64)</w:t>
        <w:br/>
        <w:t>– the store under the Champion brand of 1,700 m² located in Vic Fezensac (32)</w:t>
        <w:br/>
        <w:t>– the store under the Carrefour Market brand of 3,000 m² located in Fleurance (32)</w:t>
        <w:br/>
        <w:t>– the store under the Carrefour Market brand of 1,750 m² located in Céret (66)</w:t>
        <w:br/>
        <w:t>– the store under the Intermarché brand of 2,644 m² located in Bergerac (24)</w:t>
      </w:r>
    </w:p>
    <w:p>
      <w:r>
        <w:t>85. [Confidential].</w:t>
      </w:r>
    </w:p>
    <w:p>
      <w:r>
        <w:t>86. Furthermore, the notifying party prohibits itself, for a period of 10 years from the date of this decision, from acquiring direct or indirect influence over any of the stores.</w:t>
      </w:r>
    </w:p>
    <w:p>
      <w:r>
        <w:t>87. It also commits to appointing an independent representative whose mission will be to ensure the satisfactory execution by ITM Entreprises of its obligations. If it does not find buyers for the aforementioned 5 stores before [Confidential], a representative will be tasked with finding buyers for the divested stores and negotiating with them, on behalf of ITM Entreprises, the terms of the divestiture. The buyers must be independent of the notifying party and have no links with it. They must possess the financial resources and expertise to preserve and develop the viability of the divested activities to stimulate competition in the relevant markets.</w:t>
      </w:r>
    </w:p>
    <w:p>
      <w:r>
        <w:t>88. In the five affected areas, these commitments lead to the elimination of market share overlaps that would result from the notified operation. They therefore remedy the identified risks of harm to competition.</w:t>
      </w:r>
    </w:p>
    <w:p>
      <w:r>
        <w:t>89. Consequently, the Authority considers that the commitments proposed by the notifying party are sufficient to eliminate all serious doubts regarding the effects of the operation on competition.</w:t>
      </w:r>
    </w:p>
    <w:p>
      <w:r>
        <w:t>DECIDES</w:t>
        <w:br/>
        <w:t>Article unique: The operation notified under number 11-245 is authorized subject to compliance with the commitments described above and annexed to this decision.</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