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https://www.autoritedelaconcurrence.fr/fr/decision-de-controle-des-concentrations/relative-la-prise-de-controle-exclusif-de-la-societe-61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12-DCC-54 of April 26, 2012  </w:t>
        <w:br/>
        <w:t xml:space="preserve">regarding the exclusive control acquisition of the company Fonques  </w:t>
        <w:br/>
        <w:t xml:space="preserve">by the company ITM Entreprises  </w:t>
        <w:br/>
        <w:t>The Competition Authority,</w:t>
      </w:r>
    </w:p>
    <w:p>
      <w:r>
        <w:t xml:space="preserve">Having regard to the complete notification file submitted to the mergers department on April 5, 2012,  </w:t>
        <w:br/>
        <w:t xml:space="preserve">regarding the exclusive control acquisition of the company Fonques by the company ITM Entreprises,  </w:t>
        <w:br/>
        <w:t>formalized by a share transfer agreement dated January 30, 2012;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>Adopts the following decision:</w:t>
      </w:r>
    </w:p>
    <w:p>
      <w:r>
        <w:t xml:space="preserve">1. The notified operation consists of the exclusive control acquisition of the company Fonques, operating  </w:t>
        <w:br/>
        <w:t xml:space="preserve">a predominantly food distribution business, under the brand Intermarché,  </w:t>
        <w:br/>
        <w:t xml:space="preserve">with a surface area of 4,125 m² and located in the city of Le Quesnoy (59), by the company ITM  </w:t>
        <w:br/>
        <w:t xml:space="preserve">Entreprises. It constitutes a concentration operation within the meaning of Article L. 430-1 of  </w:t>
        <w:br/>
        <w:t xml:space="preserve">the Commercial Code. Given the turnover achieved by the companies concerned,  </w:t>
        <w:br/>
        <w:t xml:space="preserve">the operation does not have a community dimension. On the other hand, the control thresholds  </w:t>
        <w:br/>
        <w:t xml:space="preserve">related to retail trade mentioned in point II of Article L. 430-2 of the Commercial Code are exceeded.  </w:t>
        <w:br/>
        <w:t xml:space="preserve">The present operation is therefore subject to the provisions of Articles  </w:t>
        <w:br/>
        <w:t>L. 430-3 and following of the Commercial Code relating to economic concentration.</w:t>
      </w:r>
    </w:p>
    <w:p>
      <w:r>
        <w:t xml:space="preserve">2.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12-055 is authorized.  </w:t>
        <w:br/>
        <w:t xml:space="preserve">The Vice-President,  </w:t>
        <w:br/>
        <w:t xml:space="preserve">Françoise Aubert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