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https://www.autoritedelaconcurrence.fr/fr/decision-de-controle-des-concentrations/relative-la-prise-de-controle-exclusif-de-la-societe-64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12-DCC-70 of May 24, 2012  </w:t>
        <w:br/>
        <w:t xml:space="preserve">regarding the exclusive control acquisition of the company Junaudis by the  </w:t>
        <w:br/>
        <w:t xml:space="preserve">company C.S.F. (Carrefour group)  </w:t>
        <w:br/>
        <w:t xml:space="preserve">The Competition Authority,  </w:t>
        <w:br/>
        <w:t xml:space="preserve">Having regard to the complete notification file submitted to the mergers department on April 27, 2012,  </w:t>
        <w:br/>
        <w:t xml:space="preserve">concerning the exclusive control acquisition of the company Junaudis by the company C.S.F., formalized  </w:t>
        <w:br/>
        <w:t xml:space="preserve">by a memorandum of understanding dated April 24,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Junaudis, operating  </w:t>
        <w:br/>
        <w:t xml:space="preserve">a predominantly food distribution business, under the Carrefour brand, with a surface area of 2,500 m2 and located in the city of Saint-Julien-de-Concelles (44), by the  </w:t>
        <w:br/>
        <w:t xml:space="preserve">company C.S.F., a 100% subsidiary of the Carrefour group. It constitutes a concentration operation within the meaning of Article L. 430-1 of the Commercial Code. Given the turnover achieved by the companies concerned, the operation does not have a community dimension. On the other hand, the retail control thresholds mentioned  </w:t>
        <w:br/>
        <w:t xml:space="preserve">in point II of Article L. 430-2 of the Commercial Code are exceeded. This operation is therefore subject to the provisions of Articles L. 430-3 and following of the Commercial Code relating  </w:t>
        <w:br/>
        <w:t xml:space="preserve">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12-068 is authorized.  </w:t>
        <w:br/>
        <w:t xml:space="preserve">The Vice-President,  </w:t>
        <w:br/>
        <w:t xml:space="preserve">Françoise Aubert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