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https://www.autoritedelaconcurrence.fr/fr/decision-de-controle-des-concentrations/relative-la-prise-de-controle-exclusif-de-la-societe-65</w:t>
      </w:r>
    </w:p>
    <w:p>
      <w:r>
        <w:t>Pages translated : 5</w:t>
      </w:r>
    </w:p>
    <w:p/>
    <w:p>
      <w:r>
        <w:rPr>
          <w:b/>
        </w:rPr>
        <w:t>[Pages 1–3]</w:t>
      </w:r>
    </w:p>
    <w:p>
      <w:r>
        <w:t xml:space="preserve">FRENCH REPUBLIC  </w:t>
        <w:br/>
        <w:t xml:space="preserve">Decision No. 12-DCC-88 of June 20, 2012  </w:t>
        <w:br/>
        <w:t xml:space="preserve">regarding the exclusive control  </w:t>
        <w:br/>
        <w:t xml:space="preserve">of Stokomani Holding SAS  </w:t>
        <w:br/>
        <w:t>by Sagard SAS</w:t>
      </w:r>
    </w:p>
    <w:p>
      <w:r>
        <w:t xml:space="preserve">The Competition Authority,  </w:t>
        <w:br/>
        <w:t xml:space="preserve">Having regard to the notification file submitted in full to the merger service on May 14, 2012, regarding the exclusive control of Stokomani Holding SAS by Sagard SAS, through the risk capital mutual funds ("FCPR") Sagard II A and Sagard II B, formalized by a memorandum of understanding dated May 2, 2012;  </w:t>
        <w:br/>
        <w:t xml:space="preserve">Having regard to Book IV of the Commercial Code relating to price freedom and competition,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Sagard SAS is the management company of the FCPR Sagard II A and Sagard II B, governed by the provisions of Articles L. 214-36 and following of the Monetary and Financial Code. Sagard SAS is engaged in the management of the FCPR Sagard II A and Sagard II B, as well as the FCPR Sagard and Sagard Connectors, which it controls. Through these FCPR, Sagard holds control over the following groups and companies: the HMY group1, and the companies Corialis2, RLD3, Fläkt Woods4.  </w:t>
        <w:br/>
        <w:t xml:space="preserve">1 HMY is active in the sector of supplying dry furniture (excluding refrigerated furniture) and accessories intended for the equipment and layout of commercial spaces.  </w:t>
        <w:br/>
        <w:t xml:space="preserve">2 Corialis is present in the sector of manufacturing closure systems and aluminum profiles for windows, doors, verandas, and curtain walls.  </w:t>
        <w:br/>
        <w:t xml:space="preserve">3 RLD is present in the sector of renting and maintaining clothing, linen, hygiene items, and sanitary equipment.  </w:t>
        <w:br/>
        <w:t>4 Fläkt Woods is present in the sector of manufacturing ventilation and air treatment systems.</w:t>
      </w:r>
    </w:p>
    <w:p>
      <w:r>
        <w:t xml:space="preserve">and EuroDough5. Sagard SAS also exclusively controls the company Stockholding SAS, which does not engage in economic activity but serves as the investment vehicle used for the execution of the transaction. Sagard SAS is under the exclusive control of the Canadian company Power Corporation of Canada (hereinafter "PCC"), controlled by Mr. X. PCC controls financial companies and investment funds holding financial stakes in the capital of companies. In France, in addition to the companies directly or indirectly controlled by Sagard SAS, PCC controls the company Imerys, active in the industrial minerals sector.  </w:t>
        <w:br/>
        <w:t xml:space="preserve">2. Stokomani Holding SAS, controlled by Advent International Corporation, is the parent holding company of the Stokomani group, composed of Stokomani Finance SAS and its subsidiary, Stokomani SAS. The Stokomani group is active in the clearance and retail distribution of low-priced items. The Stokomani group operates a network of 37 stores established in France.  </w:t>
        <w:br/>
        <w:t xml:space="preserve">3. The operation notified by the parties consists of the acquisition by Sagard SAS, via Stockholding SAS, of all the capital and voting rights of Stokomani Holding SAS, followed by the acquisition of minority stakes by executives of the Stokomani group in the capital of Stockholding SAS. As it results in the acquisition by Sagard SAS of exclusive control of Stokomani Holding SAS, the notified operation is indeed a concentration within the meaning of Article L. 430-1 of the Commercial Code.  </w:t>
        <w:br/>
        <w:t>4. The concerned companies together achieve a total worldwide turnover of more than 150 million euros (PCC group: 24 billion euros for the 2010 fiscal year; Stokomani group: 186 million euros for the same fiscal year). At least two of these companies achieve a turnover in France exceeding 50 million euros (PCC group: […] million euros for the fiscal year ending in 2010; Stokomani group: […] million euros for the same fiscal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Stokomani group is present in the retail distribution sector for low-priced items, in which none of the PCC group companies have activity in France. In contrast, Sagard controls the HMY group, which is present in the sector of fitting out and furnishing commercial spaces, located upstream of the retail distribution of low-priced items.  </w:t>
        <w:br/>
        <w:t>5 EuroDough is present in the sector of manufacturing pie and pizza dough.</w:t>
      </w:r>
    </w:p>
    <w:p>
      <w:r>
        <w:t xml:space="preserve">A. RETAIL DISTRIBUTION MARKET FOR LOW-PRICED ITEMS  </w:t>
        <w:br/>
        <w:t xml:space="preserve">6. The decisional practice6 has considered that there exists a retail distribution market for low-priced items in which stores specializing in the clearance of branded products or the sale of discounted products sell low-priced items to consumers.  </w:t>
        <w:br/>
        <w:t xml:space="preserve">7. The parties have contemplated the existence of a segmentation of this market by the following product categories: (i) ready-to-wear, (ii) home, (iii) beauty and care, (iv) food, (v) toys and leisure, due to the differences between these different types of products. However, the parties dispute the necessity of proceeding with such segmentation to analyze the present operation insofar as, if a distinction of the different types of products is a relevant criterion for delineating the retail distribution markets, it is not required to examine the vertical effects of the operation that arise from the parties' activities in the furnishing and layout of commercial spaces, these activities not being specialized by type of product.  </w:t>
        <w:br/>
        <w:t xml:space="preserve">8. The decisional practice has considered that the market for the retail distribution of low-priced items should be regarded as having at most a national dimension. The practice has also contemplated, without definitively resolving the issue, delineating the geographical market at the local level by analogy with the local dimension of other retail distribution markets for similar goods7.  </w:t>
        <w:br/>
        <w:t>9. In any event, for the purposes of the present operation, the exact definition of the relevant market can be left open insofar as the conclusions of the competitive analysis will remain unchanged regardless of the definition and delimitation adopted.</w:t>
      </w:r>
    </w:p>
    <w:p>
      <w:r>
        <w:t xml:space="preserve">B. MARKET FOR FURNISHING AND LAYOUT OF RETAIL STORES  </w:t>
        <w:br/>
        <w:t xml:space="preserve">10. The decisional practice8 has considered that there exist markets for the furnishing and layout of stores in which suppliers sell their products to companies operating retail stores. It has considered that these markets could be segmented based on the types of retail stores, but has also contemplated that the evolution of the materials used may have led to a unification of the retail layout market.  </w:t>
        <w:br/>
        <w:t>11. According to the decisional practice9, the markets for the layout of retail stores are of national dimension. However, the parties believe that these markets should be broader. Indeed, according to the parties, different distribution groups seek homogeneous furnishing and layout solutions for all stores bearing the same brand, and the main suppliers are Italian, Spanish, and</w:t>
      </w:r>
    </w:p>
    <w:p>
      <w:r>
        <w:rPr>
          <w:b/>
        </w:rPr>
        <w:t>[Pages 4–5]</w:t>
      </w:r>
    </w:p>
    <w:p>
      <w:r>
        <w:t>Germans present not only in France but also in several other countries around the world.</w:t>
      </w:r>
    </w:p>
    <w:p>
      <w:r>
        <w:t>12. In any event, the precise definition of the relevant markets can remain open insofar as, regardless of the definition and delimitation adopted, the conclusions of the competitive analysis will remain unchanged.</w:t>
      </w:r>
    </w:p>
    <w:p>
      <w:r>
        <w:t>III. Competitive Analysis</w:t>
      </w:r>
    </w:p>
    <w:p>
      <w:r>
        <w:t>13. The transaction does not result in any overlap of activity since the parties are not present in the same markets. The transaction is therefore unlikely to harm competition through horizontal effects.</w:t>
      </w:r>
    </w:p>
    <w:p>
      <w:r>
        <w:t>14. Regarding vertical effects, it should be recalled that the Competition Authority considers it unlikely that a company with a market share of less than 30% in a given market could lock in a market downstream or upstream of it10.</w:t>
      </w:r>
    </w:p>
    <w:p>
      <w:r>
        <w:t>15. In this case, Stokomani holds a market share of less than [0-5]% in the French retail distribution market for low-priced items. The HMY group represents, for its part, [20-30]% of the French market for furniture and retail store layout. It generates most of its revenue in this market with food-dominant retail stores. Furthermore, it represents only [10-20]% of the French market for furniture and layout of retail stores for low-priced items, generating all of its revenue in this market with [Confidential]. In these markets, HMY is also facing competition from numerous competitors such as Fortezza Alser, Kider, and Cefla, specialized in the layout of food-dominant large surfaces, and from suppliers of furniture and layout for boutiques and stores such as Club Afiroc, Apia, Linder, and Media 6.</w:t>
      </w:r>
    </w:p>
    <w:p>
      <w:r>
        <w:t>16. Finally, it should be noted that the costs of furniture and layout represent only between [0-5]% and [5-10]% of the costs of a retail store.</w:t>
      </w:r>
    </w:p>
    <w:p>
      <w:r>
        <w:t>17. In light of the aforementioned elements, the transaction is unlikely to harm competition through vertical effects.</w:t>
      </w:r>
    </w:p>
    <w:p>
      <w:r>
        <w:t>10 Guidelines of the Competition Authority regarding the control of concentrations, §400.</w:t>
      </w:r>
    </w:p>
    <w:p>
      <w:r>
        <w:t>DECIDES</w:t>
      </w:r>
    </w:p>
    <w:p>
      <w:r>
        <w:t>Sole Article: The transaction notified under number 12-082 is authorized.</w:t>
      </w:r>
    </w:p>
    <w:p>
      <w: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