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https://www.autoritedelaconcurrence.fr/fr/decision-de-controle-des-concentrations/relative-la-prise-de-controle-exclusif-de-la-societe-66</w:t>
      </w:r>
    </w:p>
    <w:p>
      <w:r>
        <w:t>Pages translated : 4</w:t>
      </w:r>
    </w:p>
    <w:p/>
    <w:p>
      <w:r>
        <w:rPr>
          <w:b/>
        </w:rPr>
        <w:t>[Pages 1–3]</w:t>
      </w:r>
    </w:p>
    <w:p>
      <w:r>
        <w:t xml:space="preserve">FRENCH REPUBLIC  </w:t>
        <w:br/>
        <w:t xml:space="preserve">Decision No. 12-DCC-94 of July 11, 2012  </w:t>
        <w:br/>
        <w:t xml:space="preserve">regarding the exclusive control  </w:t>
        <w:br/>
        <w:t>of the company Lagasse Communications et Industries by the Eolane group</w:t>
      </w:r>
    </w:p>
    <w:p>
      <w:r>
        <w:t xml:space="preserve">The Competition Authority,  </w:t>
        <w:br/>
        <w:t xml:space="preserve">Having regard to the notification file sent to the concentrations service on April 10, 2012, and declared complete on June 6, 2012, concerning the exclusive control of the company Lagasse Communications et Industries by the Eolane group, formalized by an asset acquisition offer dated March 15, 2012, filed by the company Financière de l’Ombrée, the head of the Eolane group;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1. Financière de l’Ombrée is a holding company at the head of the Eolane group, whose capital is distributed between the company SGR (85%) and eleven minority shareholders (15%), the capital of the company SGR being itself held by individuals. The Eolane group is primarily active in the design, study, industrialization, and subcontracted manufacturing of electronic products intended for professionals, particularly in the fields of defense, aerospace, automotive, telecommunications, and the railway sector. The Eolane group also engages in sourcing components in Asia, selling plastic card personalization systems, and selling measurement and visualization systems for nanometric objects.</w:t>
      </w:r>
    </w:p>
    <w:p>
      <w:r>
        <w:t>2. The public limited company Lagasse Communications et Industries is a business specializing in the design, study, industrialization, and subcontracted manufacturing of electronic products intended for professionals and in the repair services of consumer products, such as telephone devices.</w:t>
      </w:r>
    </w:p>
    <w:p>
      <w:r>
        <w:t>3. The operation, formalized by an asset acquisition offer dated March 15, 2012, filed with the Commercial Court of Quimper as part of a judicial recovery procedure concerning the target, involves the acquisition of almost all the assets of the company Lagasse Communications et Industries by the company Financière de l’Ombrée, the head of the Eolane group. As it results in the acquisition of exclusive control of the assets of the company Lagasse Communications et Industries by the Eolane Group, the notified operation is a concentration operation within the meaning of Article L.430-1 of the Commercial Code.</w:t>
      </w:r>
    </w:p>
    <w:p>
      <w:r>
        <w:t>4. The concerned companies together achieve a total worldwide turnover of more than 150 million euros (Eolane group: 212.6 million euros for the fiscal year ending December 31, 2010; Lagasse Communications et Industries: 63.2 million euros for the same fiscal year). At least two of these companies achieve a turnover in France exceeding 50 million euros (Eolane group: 156 million euros for the fiscal year ending December 31, 2010; Lagasse Communications et Industries: 57.5 million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A. THE MARKETS FOR PRODUCTS AND SERVICES  </w:t>
        <w:br/>
        <w:t>5. The parties to the concentration are simultaneously active in the industrialization and subcontracted manufacturing of electronic products intended for professionals, particularly in the railway, aerospace, automotive, and telecommunications sectors.</w:t>
      </w:r>
    </w:p>
    <w:p>
      <w:r>
        <w:t>6. According to European decision-making practice, Electronic Manufacturing Services (EMS) encompass all services related to the manufacturing of electronic products on behalf of Original Equipment Manufacturers (OEM), namely product design, selection and supply of components, prototyping, production and assembly, testing, failure analysis, logistics, distribution, and after-sales service.</w:t>
      </w:r>
    </w:p>
    <w:p>
      <w:r>
        <w:t>7. The European Commission considers that subcontracted electronic production services constitute a relevant market. It has also considered, without definitively resolving the issue, segmenting the market based on the final products or services into which the subcontracted manufactured products are incorporated: automotive, telecommunications, aerospace, defense, consumer goods, computing, medical equipment, etc. This distinction would be justified by the increasing specialization of suppliers.</w:t>
      </w:r>
    </w:p>
    <w:p>
      <w:r>
        <w:t>8. The notifying party believes that companies subcontracting electronic production services have the ability to offer a wide range of services and adapt their offerings to their clients' demands without needing to acquire new production units. They have the capability to manufacture electronic equipment for different sectors, such as aerospace, medicine, or telecommunications, with products being manufactured using similar processes, notably through the assembly of printed circuit boards. It thus contests the relevance of a segmentation based on the final destination of the considered product or service.</w:t>
      </w:r>
    </w:p>
    <w:p>
      <w:r>
        <w:t>9. In this case, the question of the precise delimitation of this market will be left open insofar as, regardless of the hypothesis retained, the competitive analysis will remain unchanged.</w:t>
      </w:r>
    </w:p>
    <w:p>
      <w:r>
        <w:t xml:space="preserve">B. THE GEOGRAPHICAL MARKET  </w:t>
        <w:br/>
        <w:t>10. The European Commission has considered that the markets for electronic production services are at least of European dimension, if not global. The notifying party similarly believes that clients in these markets organize their supplies on a global scale, with transport and customs costs remaining low.</w:t>
      </w:r>
    </w:p>
    <w:p>
      <w:r>
        <w:t>11. In this case, the question of the geographical dimension of the market will be left open insofar as, regardless of the hypothesis retained, the competitive analysis will remain unchanged.</w:t>
      </w:r>
    </w:p>
    <w:p>
      <w:r>
        <w:t xml:space="preserve">III. Competitive analysis  </w:t>
        <w:br/>
        <w:t>12. According to the data provided by the parties, the European market for electronic subcontracting was estimated at just under 28 billion euros in 2011.</w:t>
      </w:r>
    </w:p>
    <w:p>
      <w:r>
        <w:t>13. In the global market for electronic production services, the parties estimated their combined market shares at 1.1% (0.9% for the Eolane group and 0.2% for Lagasse Communications et Industries).</w:t>
      </w:r>
    </w:p>
    <w:p>
      <w:r>
        <w:t>14. In the event of market segmentation based on the final destination of the subcontracted products, the parties' activities overlap only in the segment of products intended for the "communications" industry. The parties estimated their market share in this segment at less than 2%.</w:t>
      </w:r>
    </w:p>
    <w:p>
      <w:r>
        <w:t>15. Furthermore, the parties identify numerous competing operators in these markets, including powerful global players such as Foxconn (market share...</w:t>
      </w:r>
    </w:p>
    <w:p>
      <w:r>
        <w:rPr>
          <w:b/>
        </w:rPr>
        <w:t>[Pages 4–4]</w:t>
      </w:r>
    </w:p>
    <w:p>
      <w:r>
        <w:t>between 15 and 20%), Flextronics (between 15 and 20%), Jabil (approximately 5 to 10%), or international players of more modest size such as Zollner, Celestica, Enics (market share ranging from 1 to 5%).</w:t>
      </w:r>
    </w:p>
    <w:p>
      <w:r>
        <w:t>16. Therefore, in light of the above elements, the transaction is not likely to harm competition in the relevant markets.</w:t>
      </w:r>
    </w:p>
    <w:p>
      <w:r>
        <w:t>DECIDES</w:t>
      </w:r>
    </w:p>
    <w:p>
      <w:r>
        <w:t>Sole Article: The transaction notified under number 12-056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