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https://www.autoritedelaconcurrence.fr/fr/decision-de-controle-des-concentrations/relative-la-prise-de-controle-exclusif-de-la-societe-67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13-DCC-04 of January 8, 2013  </w:t>
        <w:br/>
        <w:t xml:space="preserve">regarding the exclusive control of the company Papangue by ITM Enterprises  </w:t>
        <w:br/>
        <w:t xml:space="preserve">The Competition Authority,  </w:t>
        <w:br/>
        <w:t xml:space="preserve">Having regard to the complete notification file sent to the mergers department on December 19, 2012, concerning the exclusive control of the company Papangue by ITM Enterprises, formalized by a letter of intent dated November 20,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of the company Papangue, which operates a predominantly food distribution business under the Intermarché brand with a surface area of 2,256 m² in Veigné (37), by ITM Enterprises. It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12-211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