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https://www.autoritedelaconcurrence.fr/fr/decision-de-controle-des-concentrations/relative-la-prise-de-controle-exclusif-de-la-societe-69</w:t>
      </w:r>
    </w:p>
    <w:p>
      <w:r>
        <w:t>Pages translated : 5</w:t>
      </w:r>
    </w:p>
    <w:p/>
    <w:p>
      <w:r>
        <w:rPr>
          <w:b/>
        </w:rPr>
        <w:t>[Pages 1–3]</w:t>
      </w:r>
    </w:p>
    <w:p>
      <w:r>
        <w:t xml:space="preserve">FRENCH REPUBLIC  </w:t>
        <w:br/>
        <w:t xml:space="preserve">Decision No. 13-DCC-100 of August 7, 2012  </w:t>
        <w:br/>
        <w:t xml:space="preserve">regarding the exclusive control of the company Osiatis by the  </w:t>
        <w:br/>
        <w:t xml:space="preserve">company Econocom Group  </w:t>
        <w:br/>
        <w:t xml:space="preserve">The Competition Authority,  </w:t>
        <w:br/>
        <w:t xml:space="preserve">Having regard to the notification file submitted in full to the merger service on July 8, 2013  </w:t>
        <w:br/>
        <w:t xml:space="preserve">regarding the exclusive control by the company Econocom Group of the company Osiatis  </w:t>
        <w:br/>
        <w:t xml:space="preserve">formalized by a contract for the sale and acquisition of a block of shares dated  </w:t>
        <w:br/>
        <w:t xml:space="preserve">July 1, 2013;  </w:t>
        <w:br/>
        <w:t xml:space="preserve">Having regard to Book IV of the Commercial Code relating to the freedom of prices and competition, and  </w:t>
        <w:br/>
        <w:t xml:space="preserve">notably its Articles L. 430-1 to L. 430-10;  </w:t>
        <w:br/>
        <w:t xml:space="preserve">Adopts the following decision:  </w:t>
        <w:br/>
        <w:t xml:space="preserve">I. The companies concerned and the operation  </w:t>
        <w:br/>
        <w:t xml:space="preserve">1. Econocom is a Belgian company, listed on Euronext, at the head of a group of companies  </w:t>
        <w:br/>
        <w:t xml:space="preserve">active in the IT services sector. It is controlled by the company Econocom International NV, which is itself controlled by Mr. [X]. The Econocom group is engaged in  </w:t>
        <w:br/>
        <w:t xml:space="preserve">the financing and management of IT and telecom assets, the supply of IT and telecom products,  </w:t>
        <w:br/>
        <w:t xml:space="preserve">telecom services, and IT services. Mr. [X] also holds stakes in other companies, none of which  </w:t>
        <w:br/>
        <w:t xml:space="preserve">other than those held by the Econocom group are present in the IT services sector.  </w:t>
        <w:br/>
        <w:t xml:space="preserve">2. Osiatis is a listed company owned by Butler Capital Partners, several individuals, including employees and executives, as well as the public. It heads a group of companies active in the provision of IT services to businesses, specializing in services for information systems infrastructures, particularly maintenance and outsourcing of infrastructures.  </w:t>
        <w:br/>
        <w:t xml:space="preserve">3. Under a contract for the sale and acquisition of a block of shares dated July 1, 2013, Econocom has agreed to acquire shares representing 51.9% of the capital and […]% of the voting rights of Osiatis, with the sellers taking a minority stake in Econocom. Following the operation, Econocom will therefore have an absolute majority within the supervisory board sufficient to allow it to make strategic decisions inherent to Osiatis's activity on its own.  </w:t>
        <w:br/>
        <w:t xml:space="preserve">4. As it results in the acquisition of exclusive control of Osiatis by Econocom, the notified operation is a concentration within the meaning of Article L. 430-1 of the Commercial Code.  </w:t>
        <w:br/>
        <w:t xml:space="preserve">5. The companies concerned together achieve a total worldwide turnover of more than 150 million euros (Econocom group: 1.55 billion euros for the fiscal year ending December 31, 2012; Osiatis group: 357 million euros for the same fiscal year). Both the Econocom group and the Osiatis group each achieve, in France, a turnover exceeding 50 million euros (Econocom group: 755.7 million euros for the fiscal year ending December 31, 2012; Osiatis group: 308 million euros for the same fiscal year). Given these turnover figures, the operation does not have a community dimension. However, the control thresholds mentioned in I of Article L. 430-2 of the Commercial Code are exceeded. This operation is therefore subject to the provisions of Articles L. 430-3 and following of the Commercial Code, relating to economic concentration.  </w:t>
        <w:br/>
        <w:t xml:space="preserve">II. Delimitation of relevant markets  </w:t>
        <w:br/>
        <w:t xml:space="preserve">6. The parties to the operation are simultaneously active in the IT services sector in terms of global management (outsourcing services), software development and integration, consulting, hardware maintenance, logistical support, and software maintenance. The parties are also active in various telecom services markets. However, in the absence of overlap and considering the marginal market share of the parties in the overall telecom services sector, these will not be subject to particular examination.  </w:t>
        <w:br/>
        <w:t xml:space="preserve">A. SERVICE MARKETS  </w:t>
        <w:br/>
        <w:t xml:space="preserve">7. The competition authorities, both French and community, have already had the opportunity to rule on the delimitation of relevant markets in this sector, while leaving the question open. The decision-making practice has thus considered that seven functional categories of services could be distinguished within the IT services market: (i) global management services, (ii) business management services, (iii) software development and integration, (iv) consulting, (v) software maintenance and logistical support, (vi) hardware maintenance and logistical support, and (vii) education and training. However, it has not been excluded that these seven categories of services could be considered as belonging to a global market for IT services insofar as clients generally seek a service integrating all the activities described above and there is a high degree of substitutability on the supply side.  </w:t>
        <w:br/>
        <w:t xml:space="preserve">8. Different alternative or complementary segmentations have also been considered according to:  </w:t>
        <w:br/>
        <w:t xml:space="preserve">- the type of clientele, SMEs/SMIs or large accounts;  </w:t>
        <w:br/>
        <w:t xml:space="preserve">- the types of information and communication systems: (i) management application systems, which include IT services used to fulfill a horizontal function within companies or administrations; (ii) embedded industrial technical scientific application systems; (iii) generic application systems; (iv) IT infrastructure systems; and (v) communication infrastructure and enterprise network systems;  </w:t>
        <w:br/>
        <w:t xml:space="preserve">- the sector of activity, namely: (i) communications, (ii) education, (iii) energy and local networks, (iv) financial services, (v) public sector, (vi) health, (vii) industry, (viii) commerce and distribution, (ix) services, and (x) transport.  </w:t>
        <w:br/>
        <w:t xml:space="preserve">9. There is no need to challenge these segmentations in the context of the present operation.  </w:t>
        <w:br/>
        <w:t xml:space="preserve">B. GEOGRAPHICAL MARKETS  </w:t>
        <w:br/>
        <w:t xml:space="preserve">10. The competition authorities have, on several occasions, held that the markets for IT services were of national dimension, notably due to the necessity for service providers to communicate regularly in the language of their clients and to maintain a relative proximity to them. However, they have noted a certain internationalization of supply and demand.  </w:t>
        <w:br/>
        <w:t xml:space="preserve">11. In this case, the competitive analysis will be conducted at the national level.  </w:t>
        <w:br/>
        <w:t xml:space="preserve">III. Competitive analysis  </w:t>
        <w:br/>
        <w:t>12. The operation results in overlaps in the IT services sector in the segments of global management, software development and integration, consulting, hardware maintenance, logistical support, and software maintenance and logistical support.</w:t>
      </w:r>
    </w:p>
    <w:p>
      <w:r>
        <w:rPr>
          <w:b/>
        </w:rPr>
        <w:t>[Pages 4–5]</w:t>
      </w:r>
    </w:p>
    <w:p>
      <w:r>
        <w:t>13. The French market for IT services is a dynamic and fragmented market, which includes more than 19,300 companies and is primarily concentrated in the Paris region in France. Large international groups are present, such as IBM, Cap Gemini, Accenture, Atos Origin, and Hewlett-Packard.</w:t>
      </w:r>
    </w:p>
    <w:p>
      <w:r>
        <w:t>14. Thus, in the overall IT services market, the parties estimate their combined market shares, based on data provided by a specialized consulting firm, to be approximately [0-5]% in 2012, with the operation resulting in a very slight increase in market share.</w:t>
      </w:r>
    </w:p>
    <w:p>
      <w:r>
        <w:t>15. Similarly, the operation grants the new entity a limited market share in the various segments where the parties' activities overlap, namely a combined market share of [5-10]% in global management services, [0-5]% in the software development and integration services segment, [0-5]% in consulting services, [0-5]% in IT hardware maintenance services and logistics support, and [0-5]% in software maintenance services and logistics support.</w:t>
      </w:r>
    </w:p>
    <w:p>
      <w:r>
        <w:t>16. The operation also results in an overlap of activities between the parties in the market for IT services provided to SME/SMI clients and "large account" clients. However, in the segment of services to SMEs/SMIs as well as in that of large accounts, the parties estimate that their combined market share does not exceed [0-5]%.</w:t>
      </w:r>
    </w:p>
    <w:p>
      <w:r>
        <w:t>17. If the markets are segmented by information and communication systems, the operation results in an overlap of activities in the markets (i) for generic application systems, (ii) for IT infrastructure systems, and (iii) for communication and enterprise network infrastructure systems. The parties estimate that their combined market share would not exceed [0-5]% in any of the segments where the Econocom and Osiatis groups are simultaneously present.</w:t>
      </w:r>
    </w:p>
    <w:p>
      <w:r>
        <w:t>18. Finally, by segmenting the markets by sector of activity, the operation results in an overlap of activities in the markets for the provision of IT services to companies in the sectors (i) communications, (ii) energy and transport, (iii) services and distribution, (iv) industry, (v) insurance and banking, and (vi) the public sector. According to this segmentation, the new entity would hold a market share of less than [0-5]% in each of the segments where the Econocom and Osiatis groups are simultaneously present.</w:t>
      </w:r>
    </w:p>
    <w:p>
      <w:r>
        <w:t>19. Consequently, the proposed operation is not likely to affect competition in the IT services markets.</w:t>
      </w:r>
    </w:p>
    <w:p>
      <w:r>
        <w:t>DECIDES</w:t>
        <w:br/>
        <w:t>Sole Article: The operation notified under number 13-091 is authorized.</w:t>
        <w:b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