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https://www.autoritedelaconcurrence.fr/fr/decision-de-controle-des-concentrations/relative-la-prise-de-controle-exclusif-de-la-societe-70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13-DCC-103 of August 6, 2013  </w:t>
        <w:br/>
        <w:t xml:space="preserve">regarding the exclusive control acquisition of the company Mercedes-Benz Lille  </w:t>
        <w:br/>
        <w:t xml:space="preserve">by the company RCM  </w:t>
        <w:br/>
        <w:t xml:space="preserve">The Competition Authority,  </w:t>
        <w:br/>
        <w:t xml:space="preserve">Having regard to the complete notification file sent to the mergers department on July 5, 2013,  </w:t>
        <w:br/>
        <w:t xml:space="preserve">concerning the exclusive control acquisition of the company Mercedes-Benz Lille by the company RCM, and  </w:t>
        <w:br/>
        <w:t xml:space="preserve">formalized by an acquisition agreement dated June 27,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Mercedes-Benz  </w:t>
        <w:br/>
        <w:t xml:space="preserve">Lille, which is engaged in the distribution of Mercedes-Benz brand vehicles in the  </w:t>
        <w:br/>
        <w:t xml:space="preserve">department of Nord (59), by the company RCM, which operates, through its subsidiaries,  </w:t>
        <w:br/>
        <w:t xml:space="preserve">automobile dealerships of Mercedes-Benz brands in the departments of Vendée (85) and Maine  </w:t>
        <w:br/>
        <w:t xml:space="preserve">et Loire (49). It constitutes a concentration operation within the meaning of Article L. 430-1 of the  </w:t>
        <w:br/>
        <w:t xml:space="preserve">Commercial Code. Given the turnover generated by the companies concerned,  </w:t>
        <w:br/>
        <w:t xml:space="preserve">the operation does not have a community dimension. On the other hand, the control thresholds  </w:t>
        <w:br/>
        <w:t xml:space="preserve">related to retail trade mentioned in point II of Article L. 430-2 of the Commercial Code are exceeded.  </w:t>
        <w:br/>
        <w:t xml:space="preserve">This operation is therefore subject to the provisions of Articles L. 430-3 and following of the  </w:t>
        <w:br/>
        <w:t xml:space="preserve">Commercial Code relating to economic concentration.  </w:t>
        <w:br/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13-115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