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https://www.autoritedelaconcurrence.fr/fr/decision-de-controle-des-concentrations/relative-la-prise-de-controle-exclusif-de-la-societe-71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13-DCC-121 of September 9, 2013  </w:t>
        <w:br/>
        <w:t xml:space="preserve">regarding the exclusive control acquisition of the company Morance by the  </w:t>
        <w:br/>
        <w:t xml:space="preserve">company NDK  </w:t>
        <w:br/>
        <w:t xml:space="preserve">The Competition Authority,  </w:t>
        <w:br/>
        <w:t xml:space="preserve">Having regard to the complete notification file submitted to the mergers department on August 19, 2013,  </w:t>
        <w:br/>
        <w:t xml:space="preserve">concerning the exclusive control acquisition of the company Morance by the company NDK, formalized by  </w:t>
        <w:br/>
        <w:t xml:space="preserve">a share transfer agreement dated July 30, 2013;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parties during the investigation;  </w:t>
        <w:br/>
        <w:t xml:space="preserve">Adopts the following decision:  </w:t>
        <w:br/>
        <w:t xml:space="preserve">1. The notified operation consists of the exclusive control acquisition of the company Morance, operating  </w:t>
        <w:br/>
        <w:t xml:space="preserve">two Peugeot brand car dealerships in the department of Corrèze (19), by the company NDK, which is itself active in automotive distribution in other departments.  </w:t>
        <w:br/>
        <w:t xml:space="preserve">It constitutes a concentration operation within the meaning of Article L. 430-1 of the Commercial Code. Given the turnover generated by the companies concerned,  </w:t>
        <w:br/>
        <w:t xml:space="preserve">the operation does not have a community dimension. On the other hand, the control thresholds related to retail trade mentioned in point II of Article L. 430-2 of the Commercial Code are exceeded. This operation is therefore subject to the provisions of Articles L. 430-3 and following of the Commercial Code relating to economic concentration.  </w:t>
        <w:br/>
        <w:t>2. In view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13-132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