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https://www.autoritedelaconcurrence.fr/fr/decision-de-controle-des-concentrations/relative-la-prise-de-controle-exclusif-de-la-societe-72-0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20-DCC-16 of February 5, 2020  </w:t>
        <w:br/>
        <w:t xml:space="preserve">regarding the exclusive control acquisition of the company 72 Auto Parc by the  </w:t>
        <w:br/>
        <w:t xml:space="preserve">company GCA Investissements  </w:t>
        <w:br/>
        <w:t xml:space="preserve">The Competition Authority,  </w:t>
        <w:br/>
        <w:t xml:space="preserve">Having regard to the notification file sent to the mergers department on December 27, 2019, declared  </w:t>
        <w:br/>
        <w:t xml:space="preserve">complete on January 20, 2020, concerning the exclusive control acquisition by the company GCA  </w:t>
        <w:br/>
        <w:t xml:space="preserve">Investissements of the company 72 Auto Parc, materialized by a letter of intent dated December 5,  </w:t>
        <w:br/>
        <w:t xml:space="preserve">2019.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investigation by the notifying party;  </w:t>
        <w:br/>
        <w:t xml:space="preserve">Adopts the following decision:  </w:t>
        <w:br/>
        <w:t xml:space="preserve">1. The notified operation consists of the exclusive control acquisition by the company GCA Investissements  </w:t>
        <w:br/>
        <w:t xml:space="preserve">of the company 72 Auto Parc, which carries out an automobile dealership activity under the  </w:t>
        <w:br/>
        <w:t xml:space="preserve">brands Toyota, Lexus, Kia, Suzuki, Subaru, and Ssangyong in Le Mans (72). This is a  </w:t>
        <w:br/>
        <w:t xml:space="preserve">concentration operation within the meaning of Article L. 430-1 of the Commercial Code. Given the  </w:t>
        <w:br/>
        <w:t xml:space="preserve">turnover achieved by the concerned companies, the operation does not fall under the  </w:t>
        <w:br/>
        <w:t xml:space="preserve">competence of the European Union. On the other hand, the retail control thresholds mentioned in  </w:t>
        <w:br/>
        <w:t xml:space="preserve">point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19-343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