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https://www.autoritedelaconcurrence.fr/fr/decision-de-controle-des-concentrations/relative-la-prise-de-controle-exclusif-de-la-societe-72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13-DCC-122 of September 3, 2013  </w:t>
        <w:br/>
        <w:t xml:space="preserve">regarding the exclusive control acquisition of the company Compagnie  </w:t>
        <w:br/>
        <w:t xml:space="preserve">Européenne de Charcuterie Pâtissière CECHEP by MBO Partenaires  </w:t>
        <w:br/>
        <w:t xml:space="preserve">The Competition Authority,  </w:t>
        <w:br/>
        <w:t xml:space="preserve">Having regard to the complete notification file submitted to the mergers department on August 2, 2013,  </w:t>
        <w:br/>
        <w:t xml:space="preserve">concerning the exclusive control acquisition by MBO Partenaires of the company Compagnie  </w:t>
        <w:br/>
        <w:t xml:space="preserve">Européenne de Charcuterie Pâtissière CECHEP, formalized by an acquisition and investment protocol dated August 1, 2013;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of the company Compagnie  </w:t>
        <w:br/>
        <w:t xml:space="preserve">Européenne de Charcuterie Pâtissière CECHEP and its subsidiaries, active in the sector of  </w:t>
        <w:br/>
        <w:t xml:space="preserve">manufacturing and marketing of fresh catering products, by the venture capital fund MBO Capital 3, represented by its management company MBO Partenaires.  </w:t>
        <w:br/>
        <w:t xml:space="preserve">It constitutes a concentration operation within the meaning of Article L. 430-1 of the Commercial Code. Given the turnover achieved by the concerned companies,  </w:t>
        <w:br/>
        <w:t xml:space="preserve">the operation does not have a community dimension. On the other hand, the control thresholds mentioned in point I of Article L. 430-2 of the Commercial Code are exceeded. This operation is therefore subject to the provisions of Articles L. 430-3 and following of the Commercial Code relating to economic concentration.  </w:t>
        <w:br/>
        <w:t>2. In view of the elements of the file, the operation is not likely to harm competition in the relevant markets.</w:t>
      </w:r>
    </w:p>
    <w:p>
      <w:r>
        <w:t xml:space="preserve">DECIDES  </w:t>
        <w:br/>
        <w:t xml:space="preserve">Sole Article: The notified operation under number 13-111 is authorized.  </w:t>
        <w:br/>
        <w:t xml:space="preserve">The Vice-President,  </w:t>
        <w:br/>
        <w:t xml:space="preserve">Emmanuel Combe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