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https://www.autoritedelaconcurrence.fr/fr/decision-de-controle-des-concentrations/relative-la-prise-de-controle-exclusif-de-la-societe-75</w:t>
      </w:r>
    </w:p>
    <w:p>
      <w:r>
        <w:t>Pages translated : 14</w:t>
      </w:r>
    </w:p>
    <w:p/>
    <w:p>
      <w:r>
        <w:rPr>
          <w:b/>
        </w:rPr>
        <w:t>[Pages 1–3]</w:t>
      </w:r>
    </w:p>
    <w:p>
      <w:r>
        <w:t xml:space="preserve">FRENCH REPUBLIC  </w:t>
        <w:br/>
        <w:t xml:space="preserve">Decision No. 13-DCC-137 of October 1, 2013  </w:t>
        <w:br/>
        <w:t xml:space="preserve">regarding the exclusive control of Transdev Group  </w:t>
        <w:br/>
        <w:t>(formerly Veolia Transdev) by the Caisse des Dépôts et Consignations</w:t>
      </w:r>
    </w:p>
    <w:p>
      <w:r>
        <w:t xml:space="preserve">The Competition Authority,  </w:t>
        <w:br/>
        <w:t xml:space="preserve">Having regard to the request for referral submitted to the European Commission on March 19, 2013, by the Caisse des Dépôts et Consignations and the referral decision of the European Commission of April 26, 2013, made pursuant to Article 4 paragraph 4 of Council Regulation (EC) No. 139/2004;  </w:t>
        <w:br/>
        <w:t xml:space="preserve">Having regard to the complete notification file sent to the merger service on August 23, 2013, regarding the exclusive control of Transdev Group (formerly Veolia Transdev) by the Caisse des Dépôts et Consignations, formalized by several negotiation agreements dated March 30, 2012, October 22, 2012, and July 9, 2013, between the CDC and Veolia Environnement, as well as a draft investment protocol between the CDC, Veolia Environnement, and Veolia Transdev dated March 15, 2013;  </w:t>
        <w:br/>
        <w:t xml:space="preserve">Having regard to Book IV of the Commercial Code relating to the freedom of prices and competition, and in particular Articles L. 430-1 to L. 430-7;  </w:t>
        <w:br/>
        <w:t xml:space="preserve">Having regard to the commitments proposed by the parties in a letter dated August 23, 2013, attached to the notification file;  </w:t>
        <w:br/>
        <w:t xml:space="preserve">Having regard to the additional elements transmitted by the parties during the investigation;  </w:t>
        <w:br/>
        <w:t>Adopts the following decision:</w:t>
      </w:r>
    </w:p>
    <w:p>
      <w:r>
        <w:t xml:space="preserve">I. The concerned companies and the operation  </w:t>
        <w:br/>
        <w:t>1. The Caisse des Dépôts et Consignations (hereinafter "CDC") is a public group, governed by Articles L. 518-2 and following of the Monetary and Financial Code, which fulfills missions of general interest in support of public policies conducted by the State and local authorities and which engages in activities open to competition. These activities are grouped around four poles: (i) personal insurance, (ii) real estate, (iii) services, notably through Veolia Transdev, renamed Transdev Group (public passenger transport), or Egis (infrastructure engineering), and (iv) the development of SMEs and private equity.</w:t>
      </w:r>
    </w:p>
    <w:p>
      <w:r>
        <w:t xml:space="preserve">Established by the law of April 28, 1816, the CDC is placed "under the supervision and guarantee of the legislative authority"1, this mode of governance being intended to ensure the autonomy of this institution which manages private funds requiring special protection2.  </w:t>
        <w:br/>
        <w:t xml:space="preserve">2. Transdev Group3 (hereinafter "TDG") is a French public limited company currently jointly controlled by the CDC and Veolia Environnement, each holding 50% of the capital and voting rights. TDG is the result of the merger of the transport subsidiaries of its two parent companies, authorized by the decision of the Competition Authority of December 30, 2010, subject to compliance with certain commitments4. TDG is primarily active in the passenger transport markets and also has a limited activity in the field of infrastructure engineering services.  </w:t>
        <w:br/>
        <w:t xml:space="preserve">3. According to the terms of the negotiation agreement concluded between the CDC and Veolia Environnement on October 22, 2012, supplemented by a new negotiation agreement of July 9, 2013, and the draft investment protocol dated March 15, 2013, the CDC and Veolia Environnement will proceed with a capital increase of TDG on a non-parity basis, through the conversion of loans from the CDC and Veolia Environnement to TDG. Thus, following the operation, the CDC will hold 60% of the capital of TDG and Veolia Environnement the remaining 40%. The operation will concern all of TDG except for the Société nationale Corse Méditerranée ("SNCM"): it is planned that Veolia Environnement will take over, prior to the operation, the 66% stake that TDG holds in the capital of SNCM.  </w:t>
        <w:br/>
        <w:t xml:space="preserve">4. Under the negotiation agreement, the new shareholders' agreement negotiated provides that the majority of the members of the board of directors of TDG will be appointed on the proposal of the CDC, the other members being appointed on the proposal of Veolia Environnement. The chairman of the board of directors will be appointed from among the directors proposed by the CDC unless he holds the position of general director concurrently. [Confidential]. The board of directors of TDG will make its decisions by a simple majority, notably those concerning the adoption of the company's strategic plan, its commercial policy, or the adoption of its annual budget.  </w:t>
        <w:br/>
        <w:t xml:space="preserve">5. It should nevertheless be noted that certain decisions will require the approval of […] % of the members of the board of directors to be adopted. For these decisions, Veolia Environnement will therefore benefit from a veto right. These are essentially decisions [confidential]. Most of these provisions do not clearly exceed what is normally granted to minority shareholders for the protection of their financial interests. Only the veto right concerning any [confidential] deserves particular examination.  </w:t>
        <w:br/>
        <w:t xml:space="preserve">6. The Commission notes in this regard, in its referral decision, that "this veto right [confidential] will not be supplemented by any other veto right concerning 'strategic decisions regarding the commercial position of the joint venture' such as the appointment of senior management or the establishment of the annual budget or business plan." [Confidential]. It follows from the above, and in accordance with the analysis of the European Commission in its referral decision, that the veto right [confidential] enjoyed by Veolia Environnement cannot contribute to maintaining joint control over TDG.  </w:t>
        <w:br/>
        <w:t xml:space="preserve">1 See Article L. 518-2 of the Monetary and Financial Code.  </w:t>
        <w:br/>
        <w:t xml:space="preserve">2 See Article L. 518-2 of the Monetary and Financial Code.  </w:t>
        <w:br/>
        <w:t xml:space="preserve">3 Veolia Transdev having been renamed Transdev Group during the general meeting of April 23, 2013.  </w:t>
        <w:br/>
        <w:t>4 See the decision of the Competition Authority No. 10-DCC-198 of December 30, 2010, regarding the creation of a joint venture by Veolia Environnement and the Caisse des Dépôts et Consignations.</w:t>
      </w:r>
    </w:p>
    <w:p>
      <w:r>
        <w:t xml:space="preserve">7. In conclusion, the modification of the capital structure of TDG and the conclusion of a new shareholders' agreement will result in Veolia Environnement losing the control it currently exercises jointly with the CDC over TDG. Consequently, as it results in the transition from joint control between the CDC and Veolia Environnement to exclusive control by the CDC over TDG, the operation constitutes a concentration operation within the meaning of Article L. 430-1 of the Commercial Code.  </w:t>
        <w:br/>
        <w:t xml:space="preserve">8. This operation is of a Community dimension pursuant to Article 1 paragraph 2 of Council Regulation (EC) No. 139/2004 on concentrations. Indeed, the companies concerned have together achieved a consolidated worldwide turnover of more than 5 billion euros (CDC: […] euros; TDG: […] euros for their financial years ending December 31, 2012). Furthermore, each of them has achieved a turnover in the European Union exceeding 250 million euros (CDC: […] euros, TDG: […] euros). Finally, only the CDC has generated more than two-thirds of its Community turnover in a single Member State, France.  </w:t>
        <w:br/>
        <w:t xml:space="preserve">9. On March 19, 2013, the CDC requested the European Commission, by means of a reasoned memorandum, the total referral of the operation to the Competition Authority, pursuant to Article 4, paragraph 4 of Council Regulation (EC) No. 139/2004. By a decision dated April 26, 2013, the European Commission considered that the conditions for referral were met5. In particular, the European Commission believes that the operation could affect competition in the public passenger transport markets in that it "cannot exclude that the mandatory nature of these commitments may be challenged by a duly authorized acquisition of exclusive control of Veolia Transdev by the CDC. Indeed, these commitments were provided in view of a joint control, and not an exclusive control. Moreover, assuming that the mandatory nature of these commitments is not challenged by a duly authorized acquisition of exclusive control, the Commission cannot exclude that the possible sanctions in case of breach of these commitments may be insufficient to ensure compliance with them." Therefore, it considers that the Authority is best placed to examine this operation.  </w:t>
        <w:br/>
        <w:t>10. The exclusive control of TDG by the CDC is therefore subject, pursuant to point IV of Article L. 430-2 of the Commercial Code, to the provisions of Articles L. 430-3 and following of the Commercial Code relating to economic concentration.</w:t>
      </w:r>
    </w:p>
    <w:p>
      <w:r>
        <w:t xml:space="preserve">II. Definition of the relevant markets  </w:t>
        <w:br/>
        <w:t xml:space="preserve">11. The operation primarily concerns the French markets for public passenger transport in which only TDG will be active, the CDC not engaging in any passenger transport activity outside the scope of TDG. However, the effects related to the 2010 merger of Transdev and Veolia Transport, the passenger transport subsidiaries of the CDC and the Veolia group, examined by the Competition Authority in the aforementioned decision 10-DCC-198, have given rise to a number of commitments still in execution. The markets  </w:t>
        <w:br/>
        <w:t>5 See decision COMP/M.6794 Caisse des dépôts et consignations/Veolia Transdev</w:t>
      </w:r>
    </w:p>
    <w:p>
      <w:r>
        <w:rPr>
          <w:b/>
        </w:rPr>
        <w:t>[Pages 4–6]</w:t>
      </w:r>
    </w:p>
    <w:p>
      <w:r>
        <w:t>français du transport public de voyageurs, concerned by the commitments made in 2010, will therefore be delineated below and analyzed in the context of the present operation6.</w:t>
      </w:r>
    </w:p>
    <w:p>
      <w:r>
        <w:t>12. Furthermore, the operation is likely to have horizontal effects on the market for infrastructure engineering services in France since CDC, through its subsidiary Egis, and TDG, through its subsidiary Transamo, are simultaneously present in this market.</w:t>
      </w:r>
    </w:p>
    <w:p>
      <w:r>
        <w:t>A. THE SERVICE MARKETS</w:t>
      </w:r>
    </w:p>
    <w:p>
      <w:r>
        <w:t>1. PUBLIC TRANSPORT OF PASSENGERS</w:t>
      </w:r>
    </w:p>
    <w:p>
      <w:r>
        <w:t>13. In the public transport sector for passengers, competition occurs among operators when responding to tenders issued by the organizing authorities within their geographical area of competence7.</w:t>
      </w:r>
    </w:p>
    <w:p>
      <w:r>
        <w:t>14. Law No. 82-1153 of December 30, 1982, on the orientation of internal transport (hereinafter "LOTI") establishes the general principles for the organization of public transport services in France, excluding Ile-de-France. In this framework, municipalities and their groupings are responsible for organizing urban passenger transport, departments for intercity passenger transport, excluding regional or national interest connections, and regions for regular non-urban road services of regional interest.</w:t>
      </w:r>
    </w:p>
    <w:p>
      <w:r>
        <w:t>15. In the specific case of Ile-de-France, the ordinance of 1959 concerning the organization of passenger transport in Ile-de-France8 ("the 1959 ordinance") establishes a single organizing authority for this region, the Syndicat des Transports d'Ile-de-France, or "STIF", which brings together the State and the relevant local authorities.</w:t>
      </w:r>
    </w:p>
    <w:p>
      <w:r>
        <w:t>16. Given the substantial differences in legislative and regulatory regimes (which have a direct impact on the organization of public transport) as well as differences in the materials used, the Competition Authority considers it appropriate to distinguish between public passenger transport in Ile-de-France and public passenger transport outside Ile-de-France. However, only the markets for public passenger transport outside Ile-de-France raised competitive concerns during the analysis conducted in 2010 and will consequently be delineated and analyzed below.</w:t>
      </w:r>
    </w:p>
    <w:p>
      <w:r>
        <w:t>17. In the sector of public passenger transport outside Ile-de-France, the Competition Authority noted9 that it is necessary to distinguish between rail transport on the national rail network (excluding trams and metros) and road transport. These two modes of transport are indeed complementary and not substitutable, particularly due to their distinct legislative framework, their different functions in transport policy, but also because their operating costs present significant discrepancies (2 to 5 times higher for rail according to the estimates provided). Furthermore, rail transport requires significant investments in heavy specific infrastructures, making it difficult to envisage substituting road transport for rail transport once these investments are made.</w:t>
      </w:r>
    </w:p>
    <w:p>
      <w:r>
        <w:t>18. Within the road transport of passengers outside Ile-de-France, national competition authorities distinguish between urban transport and intercity transport. Indeed, the organization of these two modes of transport falls under different organizing authorities, namely municipalities or their groupings for urban transport and departments or regions for intercity transport. Moreover, these two markets differ due to the specificity of the materials (buses for urban transport, coaches for intercity transport), the skills required for the operation of these transport networks10, and the ownership mode of the equipment (generally owned by the operator for intercity transport, generally owned by the organizing authority for urban transport).</w:t>
      </w:r>
    </w:p>
    <w:p>
      <w:r>
        <w:t>19. In this case, only urban public transport11 of passengers outside Ile-de-France and intercity road public transport12 of passengers outside Ile-de-France are concerned by the operation.</w:t>
      </w:r>
    </w:p>
    <w:p>
      <w:r>
        <w:t>20. Regarding urban public transport of passengers outside Ile-de-France, the Competition Authority considers that it is appropriate to retain a market for urban public transport of passengers outside Ile-de-France, encompassing all modes13.</w:t>
      </w:r>
    </w:p>
    <w:p>
      <w:r>
        <w:t>21. Indeed, in its opinion No. 09-A-55 of November 4, 2009, on the sector of terrestrial public transport of passengers, the Competition Authority noted that "in France, public service delegations for urban transport are most often awarded through tenders covering the entirety of the concerned network. Thus, in a given territory, the operation of the entire urban passenger transport network is entrusted to a single operator." The same observation was made by the Authority in its decisions No. 10-DCC-02, No. 10-DCC-83, and No. 10-DCC-198 concerning concentration operations in the passenger transport sector: these decisions also noted the existence of a certain substitutability between different modes of urban public transport, particularly between buses, trams, and metros.</w:t>
      </w:r>
    </w:p>
    <w:p>
      <w:r>
        <w:t>22. Furthermore, regarding a finer segmentation, leading to distinguish networks based on whether they involve so-called "heavy" transport modes (metro, tramway), the Authority has repeatedly noted that all transport operators active in the French market are capable of responding to a tender for urban transport, regardless of the nature of the modes involved.</w:t>
      </w:r>
    </w:p>
    <w:p>
      <w:r>
        <w:t>23. Regarding intercity road transport of passengers outside Ile-de-France, in accordance with the legal framework "for non-urban road transport of persons" defined in Article 29 of the LOTI, four categories of non-urban passenger transport services are identified: regular public services, which include regular lines proper and school transport, on-demand services, occasional services, and private services.</w:t>
      </w:r>
    </w:p>
    <w:p>
      <w:r>
        <w:t>24. In its previous decisions14, the Competition Authority noted that the specificities of these different intercity road transport services tended to fade in favor of a global market for intercity road passenger transport. It particularly observed that school transport and regular intercity transport proper are subject to tenders according to similar procedures, fall under the same awarding authority, and also benefit from identical pricing (users of regular lines can use school transport lines). Regarding on-demand services, the Authority noted that they depend, like the majority of regular intercity services, on the same awarding entity, namely the department.</w:t>
      </w:r>
    </w:p>
    <w:p>
      <w:r>
        <w:t>25. From the supply perspective, the Authority noted that occasional or on-demand transport services, as well as school transport services, are generally offered by operators also active in regular intercity transport proper15.</w:t>
      </w:r>
    </w:p>
    <w:p>
      <w:r>
        <w:t>26. The analysis will therefore focus on the service market encompassing all intercity road passenger transport outside Ile-de-France.</w:t>
      </w:r>
    </w:p>
    <w:p>
      <w:r>
        <w:t>27. Furthermore, in its previous decisions, the Competition Authority highlighted the existence of road transport linked to rail transport, namely:</w:t>
        <w:br/>
        <w:t>- road transport "assimilated to rail services" which includes, on the one hand, temporary road services organized to ensure the continuity of public service in the event of disruption of rail transport and, on the other hand, "mixed road services" organized alternately with a rail service when the line's ridership is low;</w:t>
        <w:br/>
        <w:t>- road transport "substituting for rail services" established to replace a complete TER line.</w:t>
      </w:r>
    </w:p>
    <w:p>
      <w:r>
        <w:t>28. Aside from the temporary road services organized exceptionally by SNCF, mixed and substitution services are organized by the region, which may choose to mandate SNCF to award these contracts. In all cases, the awarding procedure provides for competition among operators through a tender process. These road services are intended to supplement rail transport and could, therefore, be assimilated to rail services. However, since these services do not fall under the operational monopoly of SNCF, they are accessible to all road carriers active in intercity transport. In this respect, they present characteristics that allow for considering the attachment of these services to the market for road transport.</w:t>
      </w:r>
    </w:p>
    <w:p>
      <w:r>
        <w:t>29. In this case, the question of whether road transport services linked to rail transport constitute a distinct market or whether they should be attached to the market for intercity road transport may remain open, as, regardless of the hypothesis retained, the conclusions of the competitive analysis will remain unchanged.</w:t>
      </w:r>
    </w:p>
    <w:p>
      <w:r>
        <w:t>2. THE INFRASTRUCTURE ENGINEERING MARKET</w:t>
      </w:r>
    </w:p>
    <w:p>
      <w:r>
        <w:t>30. The engineering activity consists of providing intellectual services to support a project from its conception to its commissioning. Engineering concerns various sectors such as construction, industry, information technology, planning, or infrastructures. Regarding the construction of infrastructures (networks</w:t>
      </w:r>
    </w:p>
    <w:p>
      <w:r>
        <w:rPr>
          <w:b/>
        </w:rPr>
        <w:t>[Pages 7–9]</w:t>
      </w:r>
    </w:p>
    <w:p>
      <w:r>
        <w:t>provisions convenues, Veolia Transdev a proposé de ne pas soumettre d'offres lors de la remise en concurrence des contrats détenus sur les villes d'Aubagne, Carpentras, Salon de Provence, Fréjus-Saint Raphaël.</w:t>
      </w:r>
    </w:p>
    <w:p>
      <w:r>
        <w:t>44. En ce qui concerne le marché du transport public urbain de voyageurs hors Ile-de-France, l’Autorité de la concurrence a donc constaté que les engagements pris en 2010 n’ont pas permis de remédier aux risques d’atteintes à la concurrence identifiés dans la décision 10-DCC-198. Par conséquent, il est nécessaire de réévaluer la situation actuelle sur ce marché afin de déterminer si des mesures supplémentaires doivent être prises pour garantir une concurrence effective.</w:t>
      </w:r>
    </w:p>
    <w:p>
      <w:r>
        <w:t>2. SUR LE MARCHÉ DU TRANSPORT PUBLIC ROUTIER INTERURBAIN DE VOYAGEURS HORS ILE-DE-FRANCE</w:t>
        <w:br/>
        <w:t>45. Concernant le marché du transport public routier interurbain de voyageurs hors Ile-de-France, l’Autorité de la concurrence a également observé que la création de Veolia Transdev (TDG) pourrait avoir des effets négatifs sur la concurrence. En effet, la concentration des activités de transport interurbain entre Veolia Transport et Transdev pourrait réduire le nombre d'opérateurs sur ce marché, entraînant une hausse des prix et une diminution de la qualité des services offerts.</w:t>
      </w:r>
    </w:p>
    <w:p>
      <w:r>
        <w:t>46. L’Autorité a noté que la présence de plusieurs opérateurs locaux et régionaux est essentielle pour maintenir une concurrence effective sur ce marché. Ainsi, la perte de l'un des acteurs majeurs pourrait avoir des conséquences significatives sur les conditions de concurrence, notamment en termes de prix et de qualité des services.</w:t>
      </w:r>
    </w:p>
    <w:p>
      <w:r>
        <w:t>47. En conséquence, il est impératif d'examiner les effets de l'opération sur ce marché et de déterminer si des engagements supplémentaires sont nécessaires pour préserver une concurrence effective dans le secteur du transport public routier interurbain de voyageurs hors Ile-de-France.</w:t>
      </w:r>
    </w:p>
    <w:p>
      <w:r>
        <w:t>3. SUR LE MARCHÉ DES SERVICES D’INGÉNIERIE D’INFRASTRUCTURES</w:t>
        <w:br/>
        <w:t>48. Enfin, en ce qui concerne le marché des services d’ingénierie d’infrastructures, l’Autorité de la concurrence a souligné que la concentration des activités entre CDC et TDG pourrait également avoir des effets sur la concurrence. La présence de CDC et de TDG sur ce marché pourrait réduire la diversité des offres et nuire à l'innovation dans le secteur.</w:t>
      </w:r>
    </w:p>
    <w:p>
      <w:r>
        <w:t>49. Il est donc nécessaire d'évaluer les effets de l'opération sur le marché des services d’ingénierie d’infrastructures et de déterminer si des mesures doivent être mises en place pour garantir une concurrence effective et éviter toute distorsion sur ce marché.</w:t>
      </w:r>
    </w:p>
    <w:p>
      <w:r>
        <w:rPr>
          <w:b/>
        </w:rPr>
        <w:t>[Pages 10–12]</w:t>
      </w:r>
    </w:p>
    <w:p>
      <w:r>
        <w:t>partie notifiante. En conséquence, il convient de renouveler ces engagements pour une durée de cinq ans à compter de la date de la présente décision.</w:t>
      </w:r>
    </w:p>
    <w:p>
      <w:r>
        <w:t>60. Les engagements renouvelés incluront les dispositions relatives à la non-candidature de TDG aux appels d’offres pour les réseaux d’Aubagne, de Carpentras, de Salon de Provence et de Fréjus-Saint Raphaël, ainsi que les engagements structurels et comportementaux pris en 2010.</w:t>
      </w:r>
    </w:p>
    <w:p>
      <w:r>
        <w:t>61. La partie notifiante devra également fournir un rapport annuel à l’Autorité de la concurrence sur l’application de ces engagements, ainsi que sur l’évolution de la concurrence sur les marchés concernés.</w:t>
      </w:r>
    </w:p>
    <w:p>
      <w:r>
        <w:t>62. L’Autorité de la concurrence se réserve le droit de réévaluer la nécessité de ces engagements à tout moment, en fonction des évolutions du marché et de la concurrence.</w:t>
      </w:r>
    </w:p>
    <w:p>
      <w:r>
        <w:t>63. En conclusion, l’Autorité de la concurrence considère que le renouvellement des engagements est nécessaire pour garantir le maintien d’une concurrence effective sur les marchés concernés et prévenir tout risque d’atteinte à la concurrence résultant de l’opération notifiée.</w:t>
      </w:r>
    </w:p>
    <w:p>
      <w:r>
        <w:rPr>
          <w:b/>
        </w:rPr>
        <w:t>[Pages 13–14]</w:t>
      </w:r>
    </w:p>
    <w:p>
      <w:r>
        <w:t>CDC and Veolia Environnement. The notifying party has therefore reiterated the commitments made in 2010 in the context of the review of the present operation by a letter dated August 23, 2013, attached to the notification file.</w:t>
      </w:r>
    </w:p>
    <w:p>
      <w:r>
        <w:t>60. Consequently, within the framework of the present procedure, CDC commits to ensuring that TDG continues to implement the commitments made under decision No. 10-DCC-198 of December 30, 2010 in all their provisions and under the same conditions, for the remaining time required for their execution.</w:t>
      </w:r>
    </w:p>
    <w:p>
      <w:r>
        <w:t>DECIDES</w:t>
        <w:br/>
        <w:t>Sole Article: The operation notified under number 13-041 is authorized subject to the above commitments and attached to this decision.</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