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https://www.autoritedelaconcurrence.fr/fr/decision-de-controle-des-concentrations/relative-la-prise-de-controle-exclusif-de-la-societe-76</w:t>
      </w:r>
    </w:p>
    <w:p>
      <w:r>
        <w:t>Pages translated : 2</w:t>
      </w:r>
    </w:p>
    <w:p/>
    <w:p>
      <w:r>
        <w:rPr>
          <w:b/>
        </w:rPr>
        <w:t>[Pages 1–2]</w:t>
      </w:r>
    </w:p>
    <w:p>
      <w:r>
        <w:t xml:space="preserve">FRENCH REPUBLIC  </w:t>
        <w:br/>
        <w:t xml:space="preserve">Decision No. 13-DCC-142 of October 21, 2013  </w:t>
        <w:br/>
        <w:t xml:space="preserve">regarding the exclusive control acquisition of the company Garage Dunand by  </w:t>
        <w:br/>
        <w:t xml:space="preserve">the Jean Lain Automobiles group  </w:t>
        <w:br/>
        <w:t xml:space="preserve">The Competition Authority,  </w:t>
        <w:br/>
        <w:t xml:space="preserve">Having regard to the complete notification file sent to the mergers department on  </w:t>
        <w:br/>
        <w:t xml:space="preserve">October 1, 2013, concerning the exclusive control acquisition of the company Garage Dunand by the  </w:t>
        <w:br/>
        <w:t xml:space="preserve">company Garage Duchamp, formalized by a letter of intent dated July 24, 2013;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company Garage Dunand, which  </w:t>
        <w:br/>
        <w:t xml:space="preserve">operates Volkswagen brand dealerships in Ferney-Voltaire and Bellegarde-sur-Valserine in the Ain department (01), by the company Garage Duchamp belonging to the Jean Lain Automobiles group, which is itself active in the sale of motor vehicles in Savoie (73), Haute-Savoie (74), and Isère (38). It constitutes a concentration operation within the meaning of Article L. 430-1 of the Commercial Code. Given the turnover achieved by the concerned companies, the operation does not have a community dimension.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13-126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