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https://www.autoritedelaconcurrence.fr/fr/decision-de-controle-des-concentrations/relative-la-prise-de-controle-exclusif-de-la-societe-77</w:t>
      </w:r>
    </w:p>
    <w:p>
      <w:r>
        <w:t>Pages translated : 2</w:t>
      </w:r>
    </w:p>
    <w:p/>
    <w:p>
      <w:r>
        <w:rPr>
          <w:b/>
        </w:rPr>
        <w:t>[Pages 1–2]</w:t>
      </w:r>
    </w:p>
    <w:p>
      <w:r>
        <w:t xml:space="preserve">FRENCH REPUBLIC  </w:t>
        <w:br/>
        <w:t xml:space="preserve">Decision No. 13-DCC-147 of October 22, 2013  </w:t>
        <w:br/>
        <w:t xml:space="preserve">regarding the exclusive control acquisition of the company Distribution Est Automobiles by the Vincent SA group  </w:t>
        <w:br/>
        <w:t xml:space="preserve">The Competition Authority,  </w:t>
        <w:br/>
        <w:t xml:space="preserve">Having regard to the notification file sent to the mergers department on September 20, 2013, and declared complete on October 9, 2013, concerning the exclusive control acquisition of the company Distribution Est Automobiles by the Vincent SA group, materialized by a share transfer agreement dated September 20,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Distribution Est Automobiles, active in the distribution of Citroën brand automobiles in Neuilly-Plaisance and Villemomble, in the Seine Saint Denis department (93), by the Vincent SA group, which is itself active in automobile distribution in other departments. It constitutes a concentration operation within the meaning of Article L. 430-1 of the Commercial Code. Given the turnover achieved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13-164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