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https://www.autoritedelaconcurrence.fr/fr/decision-de-controle-des-concentrations/relative-la-prise-de-controle-exclusif-de-la-societe-79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13-DCC-165 of November 18, 2013</w:t>
        <w:br/>
        <w:t>regarding the exclusive control acquisition of the company Favicar</w:t>
        <w:br/>
        <w:t>by the company Amidis et Compagnie (Carrefour group)</w:t>
        <w:br/>
        <w:t>The Competition Authority,</w:t>
        <w:br/>
        <w:t>Having regard to the complete notification file sent to the mergers department on</w:t>
        <w:br/>
        <w:t>October 25, 2013, concerning the exclusive control acquisition of the company Favicar by the company</w:t>
        <w:br/>
        <w:t>Amidis et Compagnie, a subsidiary of Carrefour SA, and materialized by a promise of transfer of</w:t>
        <w:br/>
        <w:t>shares dated October 18, 2013;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 Favicar, operating</w:t>
        <w:br/>
        <w:t>a business fund of food-dominant distribution under the Carrefour Market brand, with a surface area of 1,877 m² in the city of Valbonne (06), by the company Amidis et Compagnie.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13-193 is authorized.</w:t>
        <w:br/>
        <w:t>The Vice-President,</w:t>
        <w:br/>
        <w:t>Élisabeth Flüry-Hérard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