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https://www.autoritedelaconcurrence.fr/fr/decision-de-controle-des-concentrations/relative-la-prise-de-controle-exclusif-de-la-societe-8</w:t>
      </w:r>
    </w:p>
    <w:p>
      <w:r>
        <w:t>Pages translated : 4</w:t>
      </w:r>
    </w:p>
    <w:p/>
    <w:p>
      <w:r>
        <w:rPr>
          <w:b/>
        </w:rPr>
        <w:t>[Pages 1–3]</w:t>
      </w:r>
    </w:p>
    <w:p>
      <w:r>
        <w:t xml:space="preserve">FRENCH REPUBLIC  </w:t>
        <w:br/>
        <w:t xml:space="preserve">Decision No. 10-DCC-131 of October 19, 2010  </w:t>
        <w:br/>
        <w:t>regarding the exclusive control of the company Nouvelle Distribution Automobiles and the company Deffeuille Automobiles by the Bernard group</w:t>
      </w:r>
    </w:p>
    <w:p>
      <w:r>
        <w:t xml:space="preserve">The Competition Authority,  </w:t>
        <w:br/>
        <w:t xml:space="preserve">Having regard to the notification file submitted in full to the merger service on September 15, 2010, concerning the exclusive control by SAS Bernard Participations of SAS Société Nouvelle Distribution Automobiles, SAS Deffeuille Automobiles, formalized by the agreement signed on July 12,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Bernard Participations, a simplified joint-stock company (hereinafter "Bernard Participations") is the parent company of the Bernard group. [Confidential]. The Bernard group is primarily active in the distribution and authorized repair of various automobile brands (Peugeot, Citroën, Renault/Dacia, Nissan, and Mercedes) on one hand, and industrial vehicles (Mercedes and Renault Trucks) on the other hand. It is also active in the rental and transport of industrial vehicles, the sale and rental of handling equipment, vehicle rental, and auction sales to individuals. In terms of distribution and authorized automobile repair, it is present in Saône-et-Loire, Ain, Haute-Savoie, Rhône, Isère, Savoie, Ardèche, and Drôme. Regarding vehicle rental, Bernard Participations is present, through its subsidiary held at almost 100% LSA1, a limited liability company, in the departments of Ain, Côte-d'Or, Doubs, Jura, Saône-et-Loire, Yonne, and the Territory of Belfort.  </w:t>
        <w:br/>
        <w:t>1 Bernard Participations holds 34,995 of the 35,000 shares of LSA.</w:t>
      </w:r>
    </w:p>
    <w:p>
      <w:r>
        <w:t xml:space="preserve">2. The company Nouvelle Distribution Automobiles, a simplified joint-stock company (hereinafter "Sonodia") and the company Deffeuille Automobiles, a simplified joint-stock company (hereinafter "Deffeuille Automobiles"), (together referred to as "the Target Companies"), are active in the distribution and authorized repair of automobiles (Renault/Dacia), in the purchase and sale of spare parts and automotive accessories, and marginally in vehicle rental. Sonodia is active in the department of Haute-Saône and Deffeuille Automobiles in that of Doubs.  </w:t>
        <w:br/>
        <w:t xml:space="preserve">3. [Confidential].  </w:t>
        <w:br/>
        <w:t xml:space="preserve">4. [Confidential].  </w:t>
        <w:br/>
        <w:t xml:space="preserve">5. As it results in the exclusive control of Sonodia and Deffeuille by Bernard Participations, the notified operation constitutes a concentration operation within the meaning of Article L. 430-1 of the Commercial Code.  </w:t>
        <w:br/>
        <w:t>6. The concerned companies operate one or more retail stores and together, in the last closed financial year2, achieved a total worldwide turnover of more than 75 million euros (Bernard Participations: 791.8 million euros; target companies: 101.9 million). Each generates in France in the retail sector a turnover exceeding 15 million euros (Bernard Participations: 771 million euros; target companies: the turnover mentioned above is generated almost exclusively in France). Given these turnover figures, the operation does not have a community dimension. On the other hand, the thresholds applicable to retail mentioned in point II of Article L. 430-2 of the Commercial Code are exceeded. The present operation is therefore subject to the provisions of Article L. 430-3 and following of the Commercial Code relating to economic concentration.</w:t>
      </w:r>
    </w:p>
    <w:p>
      <w:r>
        <w:t xml:space="preserve">II. Delimitation of the relevant markets  </w:t>
        <w:br/>
        <w:t xml:space="preserve">A. DELIMITATION OF THE RELEVANT SERVICE MARKETS  </w:t>
        <w:br/>
        <w:t xml:space="preserve">7. In the automobile distribution sector, practice distinguishes3:  </w:t>
        <w:br/>
        <w:t xml:space="preserve">- the distribution of new passenger motor vehicles intended for individual customers;  </w:t>
        <w:br/>
        <w:t xml:space="preserve">- the distribution of new passenger motor vehicles intended for professional customers;  </w:t>
        <w:br/>
        <w:t xml:space="preserve">- the distribution of commercial motor vehicles (notably light utility vehicles);  </w:t>
        <w:br/>
        <w:t xml:space="preserve">- the distribution of used motor vehicles;  </w:t>
        <w:br/>
        <w:t xml:space="preserve">- the distribution of spare parts and automotive accessories;  </w:t>
        <w:br/>
        <w:t xml:space="preserve">2 December 31, 2009.  </w:t>
        <w:br/>
        <w:t>3 See for example the decisions of the Competition Authority No. 10-DCC-39 of April 29, 2010, regarding the exclusive control of Picardie Auto Services by CAPE Finances Automobiles, or No. 09-DCC-25 of July 24, 2009, regarding the acquisition of Automobiles Saint Loises and SCI Ludelise Vire by François Mary Développement, or No. 09-DCC-14 of June 24, 2009, regarding the buyout by the Tuppin group of the automobile business assets belonging to the GTI group.</w:t>
      </w:r>
    </w:p>
    <w:p>
      <w:r>
        <w:t xml:space="preserve">- vehicle maintenance and repair services; and  </w:t>
        <w:br/>
        <w:t xml:space="preserve">- rental services.  </w:t>
        <w:br/>
        <w:t>8. There is no need to challenge these boundaries during the examination of the present transaction.</w:t>
      </w:r>
    </w:p>
    <w:p>
      <w:r>
        <w:t xml:space="preserve">B. THE GEOGRAPHIC MARKETS  </w:t>
        <w:br/>
        <w:t>9. Regarding the markets for the retail sale of motor vehicles, new or used, the distribution of spare parts and automotive accessories, and vehicle maintenance and repair services, decision-making practice considers a local geographic dimension4. In fact, the analysis of new vehicle sales markets is generally conducted at the departmental level. Concerning the rental of motor vehicles, the European Commission has considered that the vehicle rental markets could have a national or local dimension depending on the nature of the services provided5. However, it is possible, in this case, to leave the exact delimitation of the relevant market open, as the conclusions of the competitive analysis remain unchanged regardless of the definition adopted6.</w:t>
      </w:r>
    </w:p>
    <w:p>
      <w:r>
        <w:t xml:space="preserve">III. Competitive analysis  </w:t>
        <w:br/>
        <w:t xml:space="preserve">10. In the automobile distribution markets, the target companies are active in the departments of Haute-Saône and Doubs, and Bernard Participations is active in Saône-et-Loire, Ain, Haute-Savoie, Rhône, Isère, Savoie, Ardèche, and Drôme. There is therefore no overlap of activities in the relevant markets.  </w:t>
        <w:br/>
        <w:t xml:space="preserve">11. In the vehicle rental markets, the parties have not been able to provide their market shares. However, it should be noted that the rental activity of the target companies, which remains marginal7 for them, is primarily based on the offer of replacement vehicles, linked to the unavailability of vehicles under repair. Bernard Participations offers vehicle rental services through a franchise (Hertz). Furthermore, the new entity will still face competition from other specialized brands present in Doubs and Haute-Saône (Ada, Rent a Car, Avis, Europcar, etc.).  </w:t>
        <w:br/>
        <w:t xml:space="preserve">12. Given these elements, the operation is not likely to harm competition in the relevant markets.  </w:t>
        <w:br/>
        <w:t xml:space="preserve">4 See for example the decisions of the Competition Authority No. 10-DCC-39 of April 29, 2010, regarding the exclusive control of Picardie Auto Services by CAPE Finances Automobiles.  </w:t>
        <w:br/>
        <w:t xml:space="preserve">5 Decision COMP M.1810 Volkswagen / Europcar.  </w:t>
        <w:br/>
        <w:t xml:space="preserve">6 See for example the letter from the Minister of Economy, Finance and Industry, C2006-42 of April 28, 2006, to the board of Reagroup France Sud Ouest, regarding a concentration in the automobile distribution sector, BOCCRF No. 6 bis of June 22, 2006.  </w:t>
        <w:br/>
        <w:t>7 The target companies generate a turnover of approximately 872,300 euros, which is less than 1% of their total turnover.</w:t>
      </w:r>
    </w:p>
    <w:p>
      <w:r>
        <w:rPr>
          <w:b/>
        </w:rPr>
        <w:t>[Pages 4–4]</w:t>
      </w:r>
    </w:p>
    <w:p>
      <w:r>
        <w:t xml:space="preserve">DECIDES  </w:t>
        <w:br/>
        <w:t xml:space="preserve">Article one: The operation notified under number 10-0151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