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https://www.autoritedelaconcurrence.fr/fr/decision-de-controle-des-concentrations/relative-la-prise-de-controle-exclusif-de-la-societe-80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13-DCC-179 of December 5, 2013  </w:t>
        <w:br/>
        <w:t xml:space="preserve">regarding the exclusive control acquisition of the company Bavaria Concept  </w:t>
        <w:br/>
        <w:t xml:space="preserve">by the company PGA Motors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15, 2013, concerning the exclusive control acquisition of the company Bavaria Concept by the  </w:t>
        <w:br/>
        <w:t xml:space="preserve">company PGA Motors, formalized by a letter of intent dated November 7,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Bavaria Concept,  </w:t>
        <w:br/>
        <w:t xml:space="preserve">operating two car dealerships under the BMW and Mini brands in the departments of Pas-de-Calais (62) and Nord (59), by the company PGA Motors, which operates  </w:t>
        <w:br/>
        <w:t xml:space="preserve">car dealerships in several departments.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 </w:t>
        <w:br/>
        <w:t xml:space="preserve">in point II of Article L. 430-2 of the Commercial Code are exceeded. This operation is therefore subject to the provisions of Articles L. 430-3 and following of the Commercial Code relating  </w:t>
        <w:br/>
        <w:t xml:space="preserve">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13-213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