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https://www.autoritedelaconcurrence.fr/fr/decision-de-controle-des-concentrations/relative-la-prise-de-controle-exclusif-de-la-societe-81</w:t>
      </w:r>
    </w:p>
    <w:p>
      <w:r>
        <w:t>Pages translated : 2</w:t>
      </w:r>
    </w:p>
    <w:p/>
    <w:p>
      <w:r>
        <w:rPr>
          <w:b/>
        </w:rPr>
        <w:t>[Pages 1–2]</w:t>
      </w:r>
    </w:p>
    <w:p>
      <w:r>
        <w:t xml:space="preserve">FRENCH REPUBLIC  </w:t>
        <w:br/>
        <w:t xml:space="preserve">Decision No. 13-DCC-185 of December 11, 2013  </w:t>
        <w:br/>
        <w:t xml:space="preserve">regarding the exclusive control acquisition of the company Distribution Automobile Calvados by the Mary group  </w:t>
        <w:br/>
        <w:t xml:space="preserve">The Competition Authority,  </w:t>
        <w:br/>
        <w:t xml:space="preserve">Having regard to the complete notification file sent to the mergers department on November 20, 2013, concerning the exclusive control acquisition of the company Distribution Automobile Calvados by the François Mary group, formalized by a share transfer agreement dated November 18, 2013;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company Distribution Automobile Calvados, which operates Citroën brand car dealerships in Calvados, by the Mary group, which operates Peugeot brand car dealerships in Manche and Calvados and Opel and Chevrolet brands in Ille-et-Vilaine. It constitutes a concentration operation within the meaning of Article L. 430-1 of the Commercial Code. Given the turnover achieved by the companies concerned, the operation does not have a community dimension. However, the retail trade control thresholds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13-218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