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https://www.autoritedelaconcurrence.fr/fr/decision-de-controle-des-concentrations/relative-la-prise-de-controle-exclusif-de-la-societe-82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13-DCC-190 of December 17, 2013  </w:t>
        <w:br/>
        <w:t xml:space="preserve">regarding the exclusive control acquisition of Asmodée Group SAS by Eurazeo SA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28, 2013, concerning the exclusive control acquisition of Asmodée Group SAS  </w:t>
        <w:br/>
        <w:t xml:space="preserve">by the investment company Eurazeo SA, formalized by a purchase agreement dated  </w:t>
        <w:br/>
        <w:t xml:space="preserve">November 10,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Asmodée Group,  </w:t>
        <w:br/>
        <w:t xml:space="preserve">active in the publishing and distribution sector of games and toys, by the investment company* Eurazeo. It constitutes a concentration operation within the meaning of Article L. 430-1 of the Commercial Code. Given the turnover achieved by the companies involved,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in the relevant markets.  </w:t>
        <w:br/>
        <w:t>* Correction of a material error.</w:t>
      </w:r>
    </w:p>
    <w:p>
      <w:r>
        <w:t xml:space="preserve">DECIDES  </w:t>
        <w:br/>
        <w:t xml:space="preserve">Sole Article: The operation notified under number 13-231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