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https://www.autoritedelaconcurrence.fr/fr/decision-de-controle-des-concentrations/relative-la-prise-de-controle-exclusif-de-la-societe-83</w:t>
      </w:r>
    </w:p>
    <w:p>
      <w:r>
        <w:t>Pages translated : 3</w:t>
      </w:r>
    </w:p>
    <w:p/>
    <w:p>
      <w:r>
        <w:rPr>
          <w:b/>
        </w:rPr>
        <w:t>[Pages 1–3]</w:t>
      </w:r>
    </w:p>
    <w:p>
      <w:r>
        <w:t xml:space="preserve">FRENCH REPUBLIC  </w:t>
        <w:br/>
        <w:t xml:space="preserve">Decision No. 13-DCC-28 of March 4, 2013  </w:t>
        <w:br/>
        <w:t xml:space="preserve">regarding the exclusive control of the company Fintiles by the  </w:t>
        <w:br/>
        <w:t xml:space="preserve">company Mohawk International Holdings (DE) Corporation  </w:t>
        <w:br/>
        <w:t xml:space="preserve">The Competition Authority,  </w:t>
        <w:br/>
        <w:t xml:space="preserve">Having regard to the notification file submitted in full to the merger service on January 31, 2013,  </w:t>
        <w:br/>
        <w:t xml:space="preserve">regarding the exclusive control of the company Fintiles SpA by the company Mohawk  </w:t>
        <w:br/>
        <w:t xml:space="preserve">International Holdings (DE) Corporation formalized by a share purchase agreement dated  </w:t>
        <w:br/>
        <w:t xml:space="preserve">December 20,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supplementary elements transmitted by the parties during the investigation;  </w:t>
        <w:br/>
        <w:t xml:space="preserve">Adopts the following decision:  </w:t>
        <w:br/>
        <w:t xml:space="preserve">I. The companies concerned and the operation  </w:t>
        <w:br/>
        <w:t xml:space="preserve">1. Mohawk International Holdings (DE) Corporation (hereinafter "Mohawk") is a company  </w:t>
        <w:br/>
        <w:t xml:space="preserve">incorporated in the United States in the State of Delaware and listed on the New York Stock Exchange. Through  </w:t>
        <w:br/>
        <w:t xml:space="preserve">its subsidiaries, Mohawk is active in the manufacturing and sale of floor coverings such as  </w:t>
        <w:br/>
        <w:t xml:space="preserve">carpets, rugs and mats, hardwood floors, laminate floors, tiles, vinyl flooring as well as stone and marble floor coverings. In addition, Mohawk  </w:t>
        <w:br/>
        <w:t xml:space="preserve">also offers a range of wall coverings, panels, bedspreads, wallpapers, cushions, and blinds.  </w:t>
        <w:br/>
        <w:t xml:space="preserve">2. Fintiles SpA (hereinafter "Fintiles") is an Italian holding company. It controls the  </w:t>
        <w:br/>
        <w:t xml:space="preserve">company Marazzi Group and its subsidiaries, which offer various types of materials for  </w:t>
        <w:br/>
        <w:t xml:space="preserve">tile installation, namely porcelain stoneware, crystallized stoneware, and single-fired tiles as well as  </w:t>
        <w:br/>
        <w:t xml:space="preserve">mosaic, marble, granite, and natural materials. To a lesser extent, they  </w:t>
        <w:br/>
        <w:t xml:space="preserve">offer sanitary ware and design and construction services for raised flooring systems and ventilated facades.  </w:t>
        <w:br/>
        <w:t xml:space="preserve">3. The operation, formalized by a share purchase agreement dated December 20, 2012,  </w:t>
        <w:br/>
        <w:t>consists of the acquisition by Mohawk of all the shares of Fintiles.</w:t>
      </w:r>
    </w:p>
    <w:p>
      <w:r>
        <w:t xml:space="preserve">4. In that it results in the exclusive control of the company Fintiles by the company  </w:t>
        <w:br/>
        <w:t xml:space="preserve">Mohawk, the operation constitutes a concentration operation within the meaning of Article L. 430-1 of the  </w:t>
        <w:br/>
        <w:t xml:space="preserve">Commercial Code.  </w:t>
        <w:br/>
        <w:t xml:space="preserve">5. The companies concerned together achieve a total worldwide turnover of  </w:t>
        <w:br/>
        <w:t xml:space="preserve">more than 150 million euros (Mohawk: 4 billion euros for the fiscal year ending December 31,  </w:t>
        <w:br/>
        <w:t xml:space="preserve">2011; Fintiles: 832.5 million euros for the same fiscal year). At least two of  </w:t>
        <w:br/>
        <w:t xml:space="preserve">these companies achieve a turnover in France exceeding 50 million euros  </w:t>
        <w:br/>
        <w:t xml:space="preserve">(Mohawk: [...] euros for the fiscal year ending December 31, 2011; Fintiles: [...] euros  </w:t>
        <w:br/>
        <w:t xml:space="preserve">for the same fiscal year). Given these turnovers, the operation does not have a  </w:t>
        <w:br/>
        <w:t xml:space="preserve">Community dimension. However, the control thresholds mentioned in I of Article L.  </w:t>
        <w:br/>
        <w:t xml:space="preserve">430-2 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II. Definition of the relevant markets  </w:t>
        <w:br/>
        <w:t xml:space="preserve">6. The activities of the parties overlap in the sector of production and distribution of  </w:t>
        <w:br/>
        <w:t xml:space="preserve">floor coverings and more specifically tiles.  </w:t>
        <w:br/>
        <w:t xml:space="preserve">A. PRODUCT DEFINITION  </w:t>
        <w:br/>
        <w:t xml:space="preserve">7. The Authority noted the existence of floor covering markets but did not further discuss its  </w:t>
        <w:br/>
        <w:t xml:space="preserve">exact definition. The European Commission also left the question of the exact definition of the market or markets open but identified the existence of four  </w:t>
        <w:br/>
        <w:t xml:space="preserve">main types of products constituting floor coverings – hardwood, PVC, tiles, and carpets – and did not exclude that products sold in the construction sector and those sold directly to individuals could constitute distinct markets.  </w:t>
        <w:br/>
        <w:t xml:space="preserve">8. In this case, it is not necessary to rule on the exact definition of the market, as  </w:t>
        <w:br/>
        <w:t xml:space="preserve">the conclusions of the competitive analysis remain unchanged regardless of the hypothesis retained.  </w:t>
        <w:br/>
        <w:t xml:space="preserve">B. GEOGRAPHICAL DEFINITION  </w:t>
        <w:br/>
        <w:t xml:space="preserve">9. While leaving the question open, the European Commission considered a geographical dimension  </w:t>
        <w:br/>
        <w:t xml:space="preserve">of the market extending to the European Economic Area.  </w:t>
        <w:br/>
        <w:t xml:space="preserve">10. In this case, it is not necessary to determine the reference geographical market with  </w:t>
        <w:br/>
        <w:t xml:space="preserve">more precision, as the conclusions of the competitive analysis remain unchanged regardless  </w:t>
        <w:br/>
        <w:t xml:space="preserve">of the definition retained.  </w:t>
        <w:br/>
        <w:t xml:space="preserve">1 Competition Authority decision 11-DCC-31 of February 24, 2011, regarding the acquisition of the Gerflor group by ICG  </w:t>
        <w:br/>
        <w:t xml:space="preserve">2 European Commission decision No. COMP/M.1253 of August 27, 1998, Paribas/JDC/Gerflor; decision No. COMP/M. 4048 of June 12, 2006,  </w:t>
        <w:br/>
        <w:t>Sonae Industria/Tarkett/JV; decision No. COMP/M.4165 of June 28, 2006, Sonae Industria/Hornitex</w:t>
      </w:r>
    </w:p>
    <w:p>
      <w:r>
        <w:t xml:space="preserve">III. Competitive analysis  </w:t>
        <w:br/>
        <w:t xml:space="preserve">11. In a market that would include all floor coverings, the market shares of the  </w:t>
        <w:br/>
        <w:t xml:space="preserve">new entity would be very low, whether at the national level or at the level of the European Economic Area.  </w:t>
        <w:br/>
        <w:t xml:space="preserve">12. In a market segmented by types of covering, the operation does not result in any  </w:t>
        <w:br/>
        <w:t xml:space="preserve">overlap of activity at the national level, as Mohawk does not make any sales of tiles in France while Fintiles specializes in this type of covering. At the European level,  </w:t>
        <w:br/>
        <w:t xml:space="preserve">the operation leads to a market share of less than [0-5]% for the new entity, with an increment of less than [0-5]%.  </w:t>
        <w:br/>
        <w:t xml:space="preserve">13. It follows from the above that the operation is not likely to harm  </w:t>
        <w:br/>
        <w:t xml:space="preserve">competition, regardless of the market considered.  </w:t>
        <w:br/>
        <w:t xml:space="preserve">DECIDES  </w:t>
        <w:br/>
        <w:t xml:space="preserve">Single Article: The operation notified under number 13-014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